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-432" w:leader="none"/>
          <w:tab w:val="left" w:pos="0" w:leader="none"/>
          <w:tab w:val="left" w:pos="720" w:leader="none"/>
          <w:tab w:val="left" w:pos="1260" w:leader="none"/>
          <w:tab w:val="left" w:pos="2160" w:leader="none"/>
          <w:tab w:val="left" w:pos="252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560" w:leader="none"/>
          <w:tab w:val="left" w:pos="7920" w:leader="none"/>
          <w:tab w:val="left" w:pos="9360" w:leader="none"/>
          <w:tab w:val="left" w:pos="10080" w:leader="none"/>
          <w:tab w:val="left" w:pos="10800" w:leader="none"/>
          <w:tab w:val="left" w:pos="11520" w:leader="none"/>
        </w:tabs>
        <w:bidi w:val="0"/>
        <w:ind w:hanging="0" w:start="1260" w:end="1080"/>
        <w:jc w:val="both"/>
        <w:rPr/>
      </w:pPr>
      <w:r>
        <w:rPr/>
        <w:t>“</w:t>
      </w:r>
      <w:r>
        <w:rPr/>
        <w:t xml:space="preserve">Firm (LD-System Reliability) means that the Product will be supplied from the owned or controlled generation or pre-existing purchased power assets of the system specified in any Transaction (the “System”) with non-firm transmission to and from the Delivery Point.    Seller’s failure to deliver shall be excused: (i) by Force Majeure, (ii) by Buyer’s failure to perform; (iii) by transmission curtailment; (iv) to the extent necessary to preserve the integrity of, or prevent or limit any instability on, the System; or (v) to the extent the total of the System’s Native Load, firm energy sales, and pre-existing Firm (LD-System Reliability) Transactions exceed the System’s projected available generation for the period of delivery of the Product less reserve requirements and pre-existing Firm (LD-System Reliability) purchases, as determined in the System’s reasonable judgment.    Buyer's failure to receive shall be excused by: (I) Force Majeure; (ii) Seller's failure to perform; or (iii) transmission curtailment.    In such events, neither party shall be liable to the other for any damages, including damages under Article Four. 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Liberation Sans" w:cs="NotoSans NF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>0</Character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1999-12-10T18:05:00Z</dcterms:created>
  <dc:creator>F. Mitchell Dutton</dc:creator>
  <dc:description/>
  <dc:language>en-US</dc:language>
  <cp:lastModifiedBy/>
  <cp:lastPrinted>1999-12-10T15:08:00Z</cp:lastPrinted>
  <dcterms:modified xsi:type="dcterms:W3CDTF">1999-12-10T18:05:00Z</dcterms:modified>
  <cp:revision>2</cp:revision>
  <dc:subject/>
  <dc:title>“Firm (LD-System Reliability) means that the Product will be supplied from the owned or controlled generation or pre-existing purchased power assets of the system specified in any Transaction (the “System”) with non-firm transmission to and from the Deli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Andrew S. Katz</vt:lpwstr>
  </property>
</Properties>
</file>