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end"/>
        <w:outlineLvl w:val="0"/>
        <w:rPr>
          <w:rFonts w:ascii="Arial" w:hAnsi="Arial" w:cs="Arial"/>
          <w:b/>
          <w:sz w:val="20"/>
        </w:rPr>
      </w:pPr>
      <w:r>
        <w:rPr>
          <w:rFonts w:cs="Arial" w:ascii="Arial" w:hAnsi="Arial"/>
          <w:b/>
          <w:sz w:val="20"/>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0"/>
        <w:rPr>
          <w:rFonts w:ascii="Arial" w:hAnsi="Arial" w:cs="Arial"/>
          <w:b/>
          <w:sz w:val="20"/>
          <w:u w:val="single"/>
        </w:rPr>
      </w:pPr>
      <w:r>
        <w:rPr>
          <w:rFonts w:cs="Arial" w:ascii="Arial" w:hAnsi="Arial"/>
          <w:b/>
          <w:sz w:val="20"/>
          <w:u w:val="single"/>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0"/>
        <w:rPr>
          <w:rFonts w:ascii="Arial" w:hAnsi="Arial" w:cs="Arial"/>
          <w:b/>
          <w:sz w:val="20"/>
          <w:u w:val="single"/>
        </w:rPr>
      </w:pPr>
      <w:r>
        <w:rPr>
          <w:rFonts w:cs="Arial" w:ascii="Arial" w:hAnsi="Arial"/>
          <w:b/>
          <w:sz w:val="20"/>
          <w:u w:val="single"/>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0"/>
        <w:rPr>
          <w:rFonts w:ascii="Arial" w:hAnsi="Arial" w:cs="Arial"/>
          <w:sz w:val="20"/>
          <w:u w:val="single"/>
        </w:rPr>
      </w:pPr>
      <w:r>
        <w:rPr>
          <w:rFonts w:cs="Arial" w:ascii="Arial" w:hAnsi="Arial"/>
          <w:b/>
          <w:sz w:val="20"/>
          <w:u w:val="single"/>
        </w:rPr>
        <w:t>Trading Compliance Procedures</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u w:val="single"/>
        </w:rPr>
      </w:pPr>
      <w:r>
        <w:rPr>
          <w:rFonts w:cs="Arial" w:ascii="Arial" w:hAnsi="Arial"/>
          <w:spacing w:val="-2"/>
          <w:sz w:val="20"/>
          <w:u w:val="single"/>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Arial" w:hAnsi="Arial" w:cs="Arial"/>
          <w:spacing w:val="-2"/>
          <w:sz w:val="20"/>
        </w:rPr>
      </w:pPr>
      <w:r>
        <w:rPr>
          <w:rFonts w:cs="Arial" w:ascii="Arial" w:hAnsi="Arial"/>
          <w:b/>
          <w:spacing w:val="-2"/>
          <w:sz w:val="20"/>
          <w:u w:val="single"/>
        </w:rPr>
        <w:t>Introduction</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BodyText"/>
        <w:rPr/>
      </w:pPr>
      <w:r>
        <w:rPr/>
        <w:t>The Company trades in energy commodities as well as related</w:t>
      </w:r>
      <w:r>
        <w:rPr>
          <w:b/>
        </w:rPr>
        <w:t xml:space="preserve"> </w:t>
      </w:r>
      <w:r>
        <w:rPr/>
        <w:t xml:space="preserve">commodities' contracts in bilateral markets, private auction markets and on U.S. futures exchanges ("Exchanges").  The activities of these businesses are subject to regulation by various U.S. federal, state and self-regulatory authorities. </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t>These Compliance Procedures are designed to ensure that all Company employees, including, without limitation, traders and other trading support employees (any of the foregoing, "Employees"), are aware of their responsibilities and to ensure compliance with applicable laws, regulations and rules.  Employees should seek to stay abreast of changes in such rules affecting their area of involvement, and consult with the [Legal Department] if there is any question concerning the meaning or application of these procedures or if they become aware of any violation of these procedures.</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Arial" w:hAnsi="Arial" w:cs="Arial"/>
          <w:spacing w:val="-2"/>
          <w:sz w:val="20"/>
        </w:rPr>
      </w:pPr>
      <w:r>
        <w:rPr>
          <w:rFonts w:cs="Arial" w:ascii="Arial" w:hAnsi="Arial"/>
          <w:b/>
          <w:spacing w:val="-2"/>
          <w:sz w:val="20"/>
        </w:rPr>
        <w:t>I.</w:t>
        <w:tab/>
      </w:r>
      <w:r>
        <w:rPr>
          <w:rFonts w:cs="Arial" w:ascii="Arial" w:hAnsi="Arial"/>
          <w:b/>
          <w:spacing w:val="-2"/>
          <w:sz w:val="20"/>
          <w:u w:val="single"/>
        </w:rPr>
        <w:t>General Policy</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t>It is the policy of the Company to comply with all applicable laws, regulations, and the rules of the relevant markets and Exchanges on which the Company trades.</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rFonts w:ascii="Arial" w:hAnsi="Arial" w:cs="Arial"/>
          <w:b/>
          <w:spacing w:val="-2"/>
          <w:sz w:val="20"/>
        </w:rPr>
      </w:pPr>
      <w:r>
        <w:rPr>
          <w:rFonts w:cs="Arial" w:ascii="Arial" w:hAnsi="Arial"/>
          <w:b/>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u w:val="single"/>
        </w:rPr>
      </w:pPr>
      <w:r>
        <w:rPr>
          <w:rFonts w:cs="Arial" w:ascii="Arial" w:hAnsi="Arial"/>
          <w:b/>
          <w:spacing w:val="-2"/>
          <w:sz w:val="20"/>
        </w:rPr>
        <w:t>II.</w:t>
        <w:tab/>
      </w:r>
      <w:r>
        <w:rPr>
          <w:rFonts w:cs="Arial" w:ascii="Arial" w:hAnsi="Arial"/>
          <w:b/>
          <w:spacing w:val="-2"/>
          <w:sz w:val="20"/>
          <w:u w:val="single"/>
        </w:rPr>
        <w:t>General Rules Applying to All Trading</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u w:val="single"/>
        </w:rPr>
      </w:pPr>
      <w:r>
        <w:rPr>
          <w:rFonts w:cs="Arial" w:ascii="Arial" w:hAnsi="Arial"/>
          <w:spacing w:val="-2"/>
          <w:sz w:val="20"/>
          <w:u w:val="single"/>
        </w:rPr>
      </w:r>
    </w:p>
    <w:p>
      <w:pPr>
        <w:pStyle w:val="Normal"/>
        <w:tabs>
          <w:tab w:val="left" w:pos="-1440" w:leader="none"/>
          <w:tab w:val="left" w:pos="-72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90" w:end="0"/>
        <w:jc w:val="both"/>
        <w:rPr>
          <w:rFonts w:ascii="Arial" w:hAnsi="Arial" w:cs="Arial"/>
          <w:spacing w:val="-2"/>
          <w:sz w:val="20"/>
        </w:rPr>
      </w:pPr>
      <w:r>
        <w:rPr>
          <w:rFonts w:cs="Arial" w:ascii="Arial" w:hAnsi="Arial"/>
          <w:spacing w:val="-2"/>
          <w:sz w:val="20"/>
        </w:rPr>
        <w:t>The following rules apply to all trading activities, regardless of whether a transaction is conducted in a bilateral market, a private multiparty electronic auction market or a regulated commodities futures or options Exchange.</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pPr>
      <w:r>
        <w:rPr>
          <w:rFonts w:cs="Arial" w:ascii="Arial" w:hAnsi="Arial"/>
          <w:b/>
          <w:spacing w:val="-2"/>
          <w:sz w:val="20"/>
        </w:rPr>
        <w:t>l.</w:t>
      </w:r>
      <w:r>
        <w:rPr>
          <w:rFonts w:cs="Arial" w:ascii="Arial" w:hAnsi="Arial"/>
          <w:spacing w:val="-2"/>
          <w:sz w:val="20"/>
        </w:rPr>
        <w:t>.</w:t>
        <w:tab/>
      </w:r>
      <w:r>
        <w:rPr>
          <w:rFonts w:cs="Arial" w:ascii="Arial" w:hAnsi="Arial"/>
          <w:b/>
          <w:i/>
          <w:spacing w:val="-2"/>
          <w:sz w:val="20"/>
          <w:u w:val="single"/>
        </w:rPr>
        <w:t>No Violation of Law.</w:t>
      </w:r>
      <w:r>
        <w:rPr>
          <w:rFonts w:cs="Arial" w:ascii="Arial" w:hAnsi="Arial"/>
          <w:b/>
          <w:i/>
          <w:spacing w:val="-2"/>
          <w:sz w:val="20"/>
        </w:rPr>
        <w:t xml:space="preserve"> </w:t>
      </w:r>
      <w:r>
        <w:rPr>
          <w:rFonts w:cs="Arial" w:ascii="Arial" w:hAnsi="Arial"/>
          <w:spacing w:val="-2"/>
          <w:sz w:val="20"/>
        </w:rPr>
        <w:t xml:space="preserve"> No Employee may knowingly violate an applicable law or rule including but not limited to the antitrust law, commodities law or the rules of any ISO or RTO  market.</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pPr>
      <w:r>
        <w:rPr>
          <w:rFonts w:cs="Arial" w:ascii="Arial" w:hAnsi="Arial"/>
          <w:b/>
          <w:spacing w:val="-2"/>
          <w:sz w:val="20"/>
        </w:rPr>
        <w:t>2</w:t>
      </w:r>
      <w:r>
        <w:rPr>
          <w:rFonts w:cs="Arial" w:ascii="Arial" w:hAnsi="Arial"/>
          <w:spacing w:val="-2"/>
          <w:sz w:val="20"/>
        </w:rPr>
        <w:t>.</w:t>
        <w:tab/>
      </w:r>
      <w:r>
        <w:rPr>
          <w:rFonts w:cs="Arial" w:ascii="Arial" w:hAnsi="Arial"/>
          <w:b/>
          <w:i/>
          <w:spacing w:val="-2"/>
          <w:sz w:val="20"/>
          <w:u w:val="single"/>
        </w:rPr>
        <w:t>No Unauthorized Trading</w:t>
      </w:r>
      <w:r>
        <w:rPr>
          <w:rFonts w:cs="Arial" w:ascii="Arial" w:hAnsi="Arial"/>
          <w:b/>
          <w:i/>
          <w:spacing w:val="-2"/>
          <w:sz w:val="20"/>
        </w:rPr>
        <w:t xml:space="preserve">. </w:t>
      </w:r>
      <w:r>
        <w:rPr>
          <w:rFonts w:cs="Arial" w:ascii="Arial" w:hAnsi="Arial"/>
          <w:spacing w:val="-2"/>
          <w:sz w:val="20"/>
        </w:rPr>
        <w:t xml:space="preserve"> No Employee may execute or cause to be executed any trade in a market or type of transaction which has not been previously authorized by [             ].</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3.</w:t>
      </w:r>
      <w:r>
        <w:rPr>
          <w:rFonts w:cs="Arial" w:ascii="Arial" w:hAnsi="Arial"/>
          <w:spacing w:val="-2"/>
          <w:sz w:val="20"/>
        </w:rPr>
        <w:tab/>
      </w:r>
      <w:r>
        <w:rPr>
          <w:rFonts w:cs="Arial" w:ascii="Arial" w:hAnsi="Arial"/>
          <w:b/>
          <w:i/>
          <w:spacing w:val="-2"/>
          <w:sz w:val="20"/>
          <w:u w:val="single"/>
        </w:rPr>
        <w:t>No Violation of Limits</w:t>
      </w:r>
      <w:r>
        <w:rPr>
          <w:rFonts w:cs="Arial" w:ascii="Arial" w:hAnsi="Arial"/>
          <w:b/>
          <w:i/>
          <w:spacing w:val="-2"/>
          <w:sz w:val="20"/>
        </w:rPr>
        <w:t xml:space="preserve">.  </w:t>
      </w:r>
      <w:r>
        <w:rPr>
          <w:rFonts w:cs="Arial" w:ascii="Arial" w:hAnsi="Arial"/>
          <w:spacing w:val="-2"/>
          <w:sz w:val="20"/>
        </w:rPr>
        <w:t xml:space="preserve"> No Employee may execute or cause to be executed any trade which exceeds applicable credit, trade, position or duration limits.  </w:t>
      </w:r>
    </w:p>
    <w:p>
      <w:pPr>
        <w:pStyle w:val="Normal"/>
        <w:tabs>
          <w:tab w:val="left" w:pos="-1440" w:leader="none"/>
          <w:tab w:val="left" w:pos="-720" w:leader="none"/>
          <w:tab w:val="left" w:pos="0" w:leader="none"/>
          <w:tab w:val="left" w:pos="360" w:leader="none"/>
          <w:tab w:val="left" w:pos="72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4.</w:t>
      </w:r>
      <w:r>
        <w:rPr>
          <w:rFonts w:cs="Arial" w:ascii="Arial" w:hAnsi="Arial"/>
          <w:spacing w:val="-2"/>
          <w:sz w:val="20"/>
        </w:rPr>
        <w:tab/>
      </w:r>
      <w:r>
        <w:rPr>
          <w:rFonts w:cs="Arial" w:ascii="Arial" w:hAnsi="Arial"/>
          <w:b/>
          <w:i/>
          <w:spacing w:val="-2"/>
          <w:sz w:val="20"/>
          <w:u w:val="single"/>
        </w:rPr>
        <w:t>No Failure in Trade Reporting</w:t>
      </w:r>
      <w:r>
        <w:rPr>
          <w:rFonts w:cs="Arial" w:ascii="Arial" w:hAnsi="Arial"/>
          <w:b/>
          <w:i/>
          <w:spacing w:val="-2"/>
          <w:sz w:val="20"/>
        </w:rPr>
        <w:t xml:space="preserve">. </w:t>
      </w:r>
      <w:r>
        <w:rPr>
          <w:rFonts w:cs="Arial" w:ascii="Arial" w:hAnsi="Arial"/>
          <w:spacing w:val="-2"/>
          <w:sz w:val="20"/>
        </w:rPr>
        <w:t xml:space="preserve"> No Employee with trade reporting responsibility may knowingly fail, to report promptly the accurate and complete terms of each applicable trade executed for the Company or any amendment to any such trade.</w:t>
      </w:r>
    </w:p>
    <w:p>
      <w:pPr>
        <w:pStyle w:val="Normal"/>
        <w:tabs>
          <w:tab w:val="left" w:pos="-1440" w:leader="none"/>
          <w:tab w:val="left" w:pos="-720" w:leader="none"/>
          <w:tab w:val="left" w:pos="0" w:leader="none"/>
          <w:tab w:val="left" w:pos="360" w:leader="none"/>
          <w:tab w:val="left" w:pos="72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rFonts w:ascii="Arial" w:hAnsi="Arial" w:eastAsia="Arial" w:cs="Arial"/>
          <w:spacing w:val="-2"/>
          <w:sz w:val="20"/>
        </w:rPr>
      </w:pPr>
      <w:r>
        <w:rPr>
          <w:rFonts w:eastAsia="Arial" w:cs="Arial" w:ascii="Arial" w:hAnsi="Arial"/>
          <w:spacing w:val="-2"/>
          <w:sz w:val="20"/>
        </w:rPr>
        <w:t xml:space="preserve"> </w:t>
      </w:r>
    </w:p>
    <w:p>
      <w:pPr>
        <w:pStyle w:val="Normal"/>
        <w:tabs>
          <w:tab w:val="clear" w:pos="720"/>
          <w:tab w:val="left" w:pos="-1440" w:leader="none"/>
          <w:tab w:val="left" w:pos="-720" w:leader="none"/>
          <w:tab w:val="left" w:pos="36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spacing w:val="-2"/>
          <w:sz w:val="20"/>
        </w:rPr>
        <w:tab/>
      </w:r>
      <w:r>
        <w:rPr>
          <w:rFonts w:cs="Arial" w:ascii="Arial" w:hAnsi="Arial"/>
          <w:b/>
          <w:spacing w:val="-2"/>
          <w:sz w:val="20"/>
        </w:rPr>
        <w:t>5.</w:t>
      </w:r>
      <w:r>
        <w:rPr>
          <w:rFonts w:cs="Arial" w:ascii="Arial" w:hAnsi="Arial"/>
          <w:spacing w:val="-2"/>
          <w:sz w:val="20"/>
        </w:rPr>
        <w:tab/>
      </w:r>
      <w:r>
        <w:rPr>
          <w:rFonts w:cs="Arial" w:ascii="Arial" w:hAnsi="Arial"/>
          <w:b/>
          <w:i/>
          <w:spacing w:val="-2"/>
          <w:sz w:val="20"/>
          <w:u w:val="single"/>
        </w:rPr>
        <w:t>No Personal Trading/Improper Disclosure/Insider Trading</w:t>
      </w:r>
      <w:r>
        <w:rPr>
          <w:rFonts w:cs="Arial" w:ascii="Arial" w:hAnsi="Arial"/>
          <w:b/>
          <w:i/>
          <w:spacing w:val="-2"/>
          <w:sz w:val="20"/>
        </w:rPr>
        <w:t xml:space="preserve">. </w:t>
      </w:r>
      <w:r>
        <w:rPr>
          <w:rFonts w:cs="Arial" w:ascii="Arial" w:hAnsi="Arial"/>
          <w:spacing w:val="-2"/>
          <w:sz w:val="20"/>
        </w:rPr>
        <w:t xml:space="preserve">No Employee may trade for his or her own personal account in any commodity or related contract without the prior authorization of [       ] and in no event may any employee trade personally upon, or disclose to any person outside the Company, the Company's planned or existing trading positions for the purpose of trading ahead the Company.  </w:t>
      </w:r>
    </w:p>
    <w:p>
      <w:pPr>
        <w:pStyle w:val="Normal"/>
        <w:tabs>
          <w:tab w:val="left" w:pos="-1440" w:leader="none"/>
          <w:tab w:val="left" w:pos="-72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rFonts w:ascii="Arial" w:hAnsi="Arial" w:cs="Arial"/>
          <w:spacing w:val="-2"/>
          <w:sz w:val="20"/>
        </w:rPr>
      </w:pPr>
      <w:r>
        <w:rPr>
          <w:rFonts w:cs="Arial" w:ascii="Arial" w:hAnsi="Arial"/>
          <w:spacing w:val="-2"/>
          <w:sz w:val="20"/>
        </w:rPr>
      </w:r>
    </w:p>
    <w:p>
      <w:pPr>
        <w:pStyle w:val="Normal"/>
        <w:tabs>
          <w:tab w:val="clear" w:pos="720"/>
          <w:tab w:val="left" w:pos="-1440" w:leader="none"/>
          <w:tab w:val="left" w:pos="-720" w:leader="none"/>
          <w:tab w:val="left" w:pos="36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pPr>
      <w:r>
        <w:rPr>
          <w:rFonts w:cs="Arial" w:ascii="Arial" w:hAnsi="Arial"/>
          <w:b/>
          <w:spacing w:val="-2"/>
          <w:sz w:val="20"/>
        </w:rPr>
        <w:t>6.</w:t>
        <w:tab/>
      </w:r>
      <w:r>
        <w:rPr>
          <w:rFonts w:cs="Arial" w:ascii="Arial" w:hAnsi="Arial"/>
          <w:b/>
          <w:i/>
          <w:spacing w:val="-2"/>
          <w:sz w:val="20"/>
          <w:u w:val="single"/>
        </w:rPr>
        <w:t>No Non-Competitive Agreements</w:t>
      </w:r>
      <w:r>
        <w:rPr>
          <w:rFonts w:cs="Arial" w:ascii="Arial" w:hAnsi="Arial"/>
          <w:b/>
          <w:i/>
          <w:spacing w:val="-2"/>
          <w:sz w:val="20"/>
        </w:rPr>
        <w:t xml:space="preserve">.  </w:t>
      </w:r>
      <w:r>
        <w:rPr>
          <w:rFonts w:cs="Arial" w:ascii="Arial" w:hAnsi="Arial"/>
          <w:spacing w:val="-2"/>
          <w:sz w:val="20"/>
        </w:rPr>
        <w:t>No Employee may agree with any person outside the Company to bid or offer at any given price or price range, or not to bid or offer in respect of any transaction with a third person, for the purpose of influencing price or allocating any market share.</w:t>
      </w:r>
    </w:p>
    <w:p>
      <w:pPr>
        <w:pStyle w:val="Normal"/>
        <w:tabs>
          <w:tab w:val="left" w:pos="-1440" w:leader="none"/>
          <w:tab w:val="left" w:pos="-720" w:leader="none"/>
          <w:tab w:val="left" w:pos="0" w:leader="none"/>
          <w:tab w:val="left" w:pos="360" w:leader="none"/>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rFonts w:ascii="Arial" w:hAnsi="Arial" w:cs="Arial"/>
          <w:spacing w:val="-2"/>
          <w:sz w:val="20"/>
        </w:rPr>
      </w:pPr>
      <w:r>
        <w:rPr>
          <w:rFonts w:cs="Arial" w:ascii="Arial" w:hAnsi="Arial"/>
          <w:spacing w:val="-2"/>
          <w:sz w:val="20"/>
        </w:rPr>
      </w:r>
    </w:p>
    <w:p>
      <w:pPr>
        <w:pStyle w:val="Normal"/>
        <w:keepLines/>
        <w:tabs>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pPr>
      <w:r>
        <w:rPr>
          <w:rFonts w:cs="Arial" w:ascii="Arial" w:hAnsi="Arial"/>
          <w:b/>
          <w:spacing w:val="-2"/>
          <w:sz w:val="20"/>
        </w:rPr>
        <w:t>7.</w:t>
        <w:tab/>
      </w:r>
      <w:r>
        <w:rPr>
          <w:rFonts w:cs="Arial" w:ascii="Arial" w:hAnsi="Arial"/>
          <w:b/>
          <w:i/>
          <w:spacing w:val="-2"/>
          <w:sz w:val="20"/>
          <w:u w:val="single"/>
        </w:rPr>
        <w:t>No Manipulation</w:t>
      </w:r>
      <w:r>
        <w:rPr>
          <w:rFonts w:cs="Arial" w:ascii="Arial" w:hAnsi="Arial"/>
          <w:b/>
          <w:i/>
          <w:spacing w:val="-2"/>
          <w:sz w:val="20"/>
        </w:rPr>
        <w:t xml:space="preserve">.  </w:t>
      </w:r>
      <w:r>
        <w:rPr>
          <w:rFonts w:cs="Arial" w:ascii="Arial" w:hAnsi="Arial"/>
          <w:spacing w:val="-2"/>
          <w:sz w:val="20"/>
        </w:rPr>
        <w:t xml:space="preserve"> No Employee may knowingly manipulate the price of, or corner, any commodity traded by the Company.  Price manipulation and cornering are actions or inactions for the purpose of causing market prices to cease to reflect bona fide supply and demand forces.</w:t>
      </w:r>
    </w:p>
    <w:p>
      <w:pPr>
        <w:pStyle w:val="Normal"/>
        <w:tabs>
          <w:tab w:val="left" w:pos="-1440" w:leader="none"/>
          <w:tab w:val="left" w:pos="-72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080" w:end="0"/>
        <w:jc w:val="both"/>
        <w:rPr>
          <w:rFonts w:ascii="Arial" w:hAnsi="Arial" w:cs="Arial"/>
          <w:spacing w:val="-2"/>
          <w:sz w:val="20"/>
        </w:rPr>
      </w:pPr>
      <w:r>
        <w:rPr>
          <w:rFonts w:cs="Arial" w:ascii="Arial" w:hAnsi="Arial"/>
          <w:spacing w:val="-2"/>
          <w:sz w:val="20"/>
        </w:rPr>
      </w:r>
    </w:p>
    <w:p>
      <w:pPr>
        <w:pStyle w:val="Normal"/>
        <w:keepLines/>
        <w:tabs>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360" w:end="0"/>
        <w:jc w:val="both"/>
        <w:rPr/>
      </w:pPr>
      <w:r>
        <w:rPr>
          <w:rFonts w:cs="Arial" w:ascii="Arial" w:hAnsi="Arial"/>
          <w:b/>
          <w:spacing w:val="-2"/>
          <w:sz w:val="20"/>
        </w:rPr>
        <w:tab/>
        <w:t>8.</w:t>
        <w:tab/>
      </w:r>
      <w:r>
        <w:rPr>
          <w:rFonts w:cs="Arial" w:ascii="Arial" w:hAnsi="Arial"/>
          <w:b/>
          <w:i/>
          <w:spacing w:val="-2"/>
          <w:sz w:val="20"/>
          <w:u w:val="single"/>
        </w:rPr>
        <w:t>No Misstatements</w:t>
      </w:r>
      <w:r>
        <w:rPr>
          <w:rFonts w:cs="Arial" w:ascii="Arial" w:hAnsi="Arial"/>
          <w:b/>
          <w:i/>
          <w:spacing w:val="-2"/>
          <w:sz w:val="20"/>
        </w:rPr>
        <w:t xml:space="preserve">.  </w:t>
      </w:r>
      <w:r>
        <w:rPr>
          <w:rFonts w:cs="Arial" w:ascii="Arial" w:hAnsi="Arial"/>
          <w:spacing w:val="-2"/>
          <w:sz w:val="20"/>
        </w:rPr>
        <w:t xml:space="preserve"> No employee may make any knowing misstatements concerning trading to any regulator or other government officer in connection with any inquiry concerning the Company's trading.</w:t>
      </w:r>
    </w:p>
    <w:p>
      <w:pPr>
        <w:pStyle w:val="Normal"/>
        <w:keepLines/>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Arial" w:hAnsi="Arial" w:cs="Arial"/>
          <w:spacing w:val="-2"/>
          <w:sz w:val="20"/>
        </w:rPr>
      </w:pPr>
      <w:r>
        <w:rPr>
          <w:rFonts w:cs="Arial" w:ascii="Arial" w:hAnsi="Arial"/>
          <w:b/>
          <w:spacing w:val="-2"/>
          <w:sz w:val="20"/>
        </w:rPr>
        <w:t>III.</w:t>
        <w:tab/>
        <w:t xml:space="preserve"> </w:t>
      </w:r>
      <w:r>
        <w:rPr>
          <w:rFonts w:cs="Arial" w:ascii="Arial" w:hAnsi="Arial"/>
          <w:b/>
          <w:spacing w:val="-2"/>
          <w:sz w:val="20"/>
          <w:u w:val="single"/>
        </w:rPr>
        <w:t>General Rules Applying to Exchange Trading</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t>The following rules apply to transactions made through any Exchange.</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l.</w:t>
      </w:r>
      <w:r>
        <w:rPr>
          <w:rFonts w:cs="Arial" w:ascii="Arial" w:hAnsi="Arial"/>
          <w:b/>
          <w:i/>
          <w:spacing w:val="-2"/>
          <w:sz w:val="20"/>
        </w:rPr>
        <w:tab/>
      </w:r>
      <w:r>
        <w:rPr>
          <w:rFonts w:cs="Arial" w:ascii="Arial" w:hAnsi="Arial"/>
          <w:b/>
          <w:i/>
          <w:spacing w:val="-2"/>
          <w:sz w:val="20"/>
          <w:u w:val="single"/>
        </w:rPr>
        <w:t>No Manipulation</w:t>
      </w:r>
      <w:r>
        <w:rPr>
          <w:rFonts w:cs="Arial" w:ascii="Arial" w:hAnsi="Arial"/>
          <w:b/>
          <w:spacing w:val="-2"/>
          <w:sz w:val="20"/>
        </w:rPr>
        <w:t xml:space="preserve">.  </w:t>
      </w:r>
      <w:r>
        <w:rPr>
          <w:rFonts w:cs="Arial" w:ascii="Arial" w:hAnsi="Arial"/>
          <w:spacing w:val="-2"/>
          <w:sz w:val="20"/>
        </w:rPr>
        <w:t>No Employee may manipulate or corner or cause to be manipulated or cornered the prices of any Exchange-traded commodity.  (</w:t>
      </w:r>
      <w:r>
        <w:rPr>
          <w:rFonts w:cs="Arial" w:ascii="Arial" w:hAnsi="Arial"/>
          <w:i/>
          <w:spacing w:val="-2"/>
          <w:sz w:val="20"/>
        </w:rPr>
        <w:t>See</w:t>
      </w:r>
      <w:r>
        <w:rPr>
          <w:rFonts w:cs="Arial" w:ascii="Arial" w:hAnsi="Arial"/>
          <w:spacing w:val="-2"/>
          <w:sz w:val="20"/>
        </w:rPr>
        <w:t xml:space="preserve"> description of price manipulation and cornering above.)</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eastAsia="Arial" w:cs="Arial"/>
          <w:spacing w:val="-2"/>
          <w:sz w:val="20"/>
        </w:rPr>
      </w:pPr>
      <w:r>
        <w:rPr>
          <w:rFonts w:eastAsia="Arial" w:cs="Arial" w:ascii="Arial" w:hAnsi="Arial"/>
          <w:spacing w:val="-2"/>
          <w:sz w:val="20"/>
        </w:rPr>
        <w:t xml:space="preserve"> </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2.</w:t>
      </w:r>
      <w:r>
        <w:rPr>
          <w:rFonts w:cs="Arial" w:ascii="Arial" w:hAnsi="Arial"/>
          <w:b/>
          <w:i/>
          <w:spacing w:val="-2"/>
          <w:sz w:val="20"/>
        </w:rPr>
        <w:tab/>
      </w:r>
      <w:r>
        <w:rPr>
          <w:rFonts w:cs="Arial" w:ascii="Arial" w:hAnsi="Arial"/>
          <w:b/>
          <w:i/>
          <w:spacing w:val="-2"/>
          <w:sz w:val="20"/>
          <w:u w:val="single"/>
        </w:rPr>
        <w:t>No Wash Trading</w:t>
      </w:r>
      <w:r>
        <w:rPr>
          <w:rFonts w:cs="Arial" w:ascii="Arial" w:hAnsi="Arial"/>
          <w:b/>
          <w:i/>
          <w:spacing w:val="-2"/>
          <w:sz w:val="20"/>
        </w:rPr>
        <w:t xml:space="preserve">.  </w:t>
      </w:r>
      <w:r>
        <w:rPr>
          <w:rFonts w:cs="Arial" w:ascii="Arial" w:hAnsi="Arial"/>
          <w:spacing w:val="-2"/>
          <w:sz w:val="20"/>
        </w:rPr>
        <w:t>No Employee may engage in wash trading.  Wash trading is two or more Exchange trades which, individually, give the appearance of being a purchase or sale but, viewed as a whole, avoids any change in ownership of a futures contract. This typically occurs when buy and sell orders at the same price are made simultaneously or contingent upon one another.</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eastAsia="Arial" w:cs="Arial"/>
          <w:spacing w:val="-2"/>
          <w:sz w:val="20"/>
        </w:rPr>
      </w:pPr>
      <w:r>
        <w:rPr>
          <w:rFonts w:eastAsia="Arial" w:cs="Arial" w:ascii="Arial" w:hAnsi="Arial"/>
          <w:spacing w:val="-2"/>
          <w:sz w:val="20"/>
        </w:rPr>
        <w:t xml:space="preserve"> </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3.</w:t>
      </w:r>
      <w:r>
        <w:rPr>
          <w:rFonts w:cs="Arial" w:ascii="Arial" w:hAnsi="Arial"/>
          <w:b/>
          <w:i/>
          <w:spacing w:val="-2"/>
          <w:sz w:val="20"/>
        </w:rPr>
        <w:tab/>
      </w:r>
      <w:r>
        <w:rPr>
          <w:rFonts w:cs="Arial" w:ascii="Arial" w:hAnsi="Arial"/>
          <w:b/>
          <w:i/>
          <w:spacing w:val="-2"/>
          <w:sz w:val="20"/>
          <w:u w:val="single"/>
        </w:rPr>
        <w:t>No Accommodation Trading</w:t>
      </w:r>
      <w:r>
        <w:rPr>
          <w:rFonts w:cs="Arial" w:ascii="Arial" w:hAnsi="Arial"/>
          <w:b/>
          <w:spacing w:val="-2"/>
          <w:sz w:val="20"/>
        </w:rPr>
        <w:t>.</w:t>
      </w:r>
      <w:r>
        <w:rPr>
          <w:rFonts w:cs="Arial" w:ascii="Arial" w:hAnsi="Arial"/>
          <w:spacing w:val="-2"/>
          <w:sz w:val="20"/>
        </w:rPr>
        <w:tab/>
        <w:t>No Employee may engage in accommodation trading.  Accommodation trading is non-competitive Exchange trading made as an accommodation to another market participant.</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4.</w:t>
      </w:r>
      <w:r>
        <w:rPr>
          <w:rFonts w:cs="Arial" w:ascii="Arial" w:hAnsi="Arial"/>
          <w:b/>
          <w:i/>
          <w:spacing w:val="-2"/>
          <w:sz w:val="20"/>
        </w:rPr>
        <w:tab/>
      </w:r>
      <w:r>
        <w:rPr>
          <w:rFonts w:cs="Arial" w:ascii="Arial" w:hAnsi="Arial"/>
          <w:b/>
          <w:i/>
          <w:spacing w:val="-2"/>
          <w:sz w:val="20"/>
          <w:u w:val="single"/>
        </w:rPr>
        <w:t>No Fictitious Trades.</w:t>
      </w:r>
      <w:r>
        <w:rPr>
          <w:rFonts w:cs="Arial" w:ascii="Arial" w:hAnsi="Arial"/>
          <w:spacing w:val="-2"/>
          <w:sz w:val="20"/>
        </w:rPr>
        <w:tab/>
        <w:t>No Employee may make or report a false or fictitious trade. A fictitious trade is a trade made other than by open outcry auction in the ring of the Exchange, or Exchange-authorized electronic trading system, at a bona fide price.</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5.</w:t>
      </w:r>
      <w:r>
        <w:rPr>
          <w:rFonts w:cs="Arial" w:ascii="Arial" w:hAnsi="Arial"/>
          <w:b/>
          <w:i/>
          <w:spacing w:val="-2"/>
          <w:sz w:val="20"/>
        </w:rPr>
        <w:tab/>
      </w:r>
      <w:r>
        <w:rPr>
          <w:rFonts w:cs="Arial" w:ascii="Arial" w:hAnsi="Arial"/>
          <w:b/>
          <w:i/>
          <w:spacing w:val="-2"/>
          <w:sz w:val="20"/>
          <w:u w:val="single"/>
        </w:rPr>
        <w:t>Open Outcry</w:t>
      </w:r>
      <w:r>
        <w:rPr>
          <w:rFonts w:cs="Arial" w:ascii="Arial" w:hAnsi="Arial"/>
          <w:b/>
          <w:i/>
          <w:spacing w:val="-2"/>
          <w:sz w:val="20"/>
        </w:rPr>
        <w:t>.</w:t>
      </w:r>
      <w:r>
        <w:rPr>
          <w:rFonts w:cs="Arial" w:ascii="Arial" w:hAnsi="Arial"/>
          <w:spacing w:val="-2"/>
          <w:sz w:val="20"/>
        </w:rPr>
        <w:tab/>
        <w:t xml:space="preserve"> Except as specifically provided in the relevant Exchange rules, all purchases, sales, bids and offers for futures and futures options contracts by Employees shall be executed openly and competitively during authorized hours of trading by open outcry in the appropriate trading ring, or through an electronic trading system authorized by the relevant Exchange.</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pPr>
      <w:r>
        <w:rPr>
          <w:rFonts w:cs="Arial" w:ascii="Arial" w:hAnsi="Arial"/>
          <w:b/>
          <w:spacing w:val="-2"/>
          <w:sz w:val="20"/>
        </w:rPr>
        <w:tab/>
        <w:t>6.</w:t>
      </w:r>
      <w:r>
        <w:rPr>
          <w:rFonts w:cs="Arial" w:ascii="Arial" w:hAnsi="Arial"/>
          <w:b/>
          <w:i/>
          <w:spacing w:val="-2"/>
          <w:sz w:val="20"/>
        </w:rPr>
        <w:tab/>
      </w:r>
      <w:r>
        <w:rPr>
          <w:rFonts w:cs="Arial" w:ascii="Arial" w:hAnsi="Arial"/>
          <w:b/>
          <w:i/>
          <w:spacing w:val="-2"/>
          <w:sz w:val="20"/>
          <w:u w:val="single"/>
        </w:rPr>
        <w:t>No Pre-Arranged Trading</w:t>
      </w:r>
      <w:r>
        <w:rPr>
          <w:rFonts w:cs="Arial" w:ascii="Arial" w:hAnsi="Arial"/>
          <w:b/>
          <w:spacing w:val="-2"/>
          <w:sz w:val="20"/>
        </w:rPr>
        <w:t xml:space="preserve">.  </w:t>
      </w:r>
      <w:r>
        <w:rPr>
          <w:rFonts w:cs="Arial" w:ascii="Arial" w:hAnsi="Arial"/>
          <w:spacing w:val="-2"/>
          <w:sz w:val="20"/>
        </w:rPr>
        <w:t>No Employee may participate in a pre-arranged trade of Exchange contracts.  Pre-arranged trades are trades that are not executed according to the Exchange's open outcry auction rule, or Exchange-authorized electronic trading system.</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rFonts w:ascii="Arial" w:hAnsi="Arial" w:cs="Arial"/>
          <w:spacing w:val="-2"/>
          <w:sz w:val="20"/>
        </w:rPr>
      </w:pPr>
      <w:r>
        <w:rPr>
          <w:rFonts w:cs="Arial" w:ascii="Arial" w:hAnsi="Arial"/>
          <w:spacing w:val="-2"/>
          <w:sz w:val="20"/>
        </w:rPr>
      </w:r>
    </w:p>
    <w:p>
      <w:pPr>
        <w:pStyle w:val="Normal"/>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Arial" w:hAnsi="Arial" w:cs="Arial"/>
          <w:spacing w:val="-2"/>
          <w:sz w:val="20"/>
        </w:rPr>
      </w:pPr>
      <w:r>
        <w:rPr>
          <w:rFonts w:cs="Arial" w:ascii="Arial" w:hAnsi="Arial"/>
          <w:b/>
          <w:spacing w:val="-2"/>
          <w:sz w:val="20"/>
        </w:rPr>
        <w:t>IV.</w:t>
        <w:tab/>
      </w:r>
      <w:r>
        <w:rPr>
          <w:rFonts w:cs="Arial" w:ascii="Arial" w:hAnsi="Arial"/>
          <w:b/>
          <w:spacing w:val="-2"/>
          <w:sz w:val="20"/>
          <w:u w:val="single"/>
        </w:rPr>
        <w:t>Investigations</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t>Employees shall promptly notify the Legal Department upon becoming aware of any investigations or steps taken or threatened by any regulatory body or federal, state or local authority with respect to the Company or any Employee.  Any such investigation will be managed for the Company by the Legal Department.  Employees shall cooperate fully with the Legal Department in connection with any such investigation, including furnishing to the Legal Department promptly such information and accounts as the Legal Department may require for the purposes of the investigation.</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b/>
          <w:spacing w:val="-2"/>
          <w:sz w:val="20"/>
        </w:rPr>
      </w:pPr>
      <w:r>
        <w:rPr>
          <w:rFonts w:cs="Arial" w:ascii="Arial" w:hAnsi="Arial"/>
          <w:b/>
          <w:spacing w:val="-2"/>
          <w:sz w:val="20"/>
        </w:rPr>
      </w:r>
      <w:r>
        <w:br w:type="page"/>
      </w:r>
    </w:p>
    <w:p>
      <w:pPr>
        <w:pStyle w:val="Normal"/>
        <w:keepNext w:val="true"/>
        <w:keepLines/>
        <w:numPr>
          <w:ilvl w:val="0"/>
          <w:numId w:val="0"/>
        </w:num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rFonts w:ascii="Arial" w:hAnsi="Arial" w:cs="Arial"/>
          <w:spacing w:val="-2"/>
          <w:sz w:val="20"/>
        </w:rPr>
      </w:pPr>
      <w:r>
        <w:rPr>
          <w:rFonts w:cs="Arial" w:ascii="Arial" w:hAnsi="Arial"/>
          <w:b/>
          <w:spacing w:val="-2"/>
          <w:sz w:val="20"/>
        </w:rPr>
        <w:t>V.</w:t>
        <w:tab/>
      </w:r>
      <w:r>
        <w:rPr>
          <w:rFonts w:cs="Arial" w:ascii="Arial" w:hAnsi="Arial"/>
          <w:b/>
          <w:spacing w:val="-2"/>
          <w:sz w:val="20"/>
          <w:u w:val="single"/>
        </w:rPr>
        <w:t>Special Situations</w:t>
      </w:r>
    </w:p>
    <w:p>
      <w:pPr>
        <w:pStyle w:val="BodyText"/>
        <w:rPr>
          <w:rFonts w:ascii="Arial" w:hAnsi="Arial" w:cs="Arial"/>
          <w:spacing w:val="-2"/>
          <w:sz w:val="20"/>
        </w:rPr>
      </w:pPr>
      <w:r>
        <w:rPr>
          <w:rFonts w:cs="Arial"/>
          <w:spacing w:val="-2"/>
          <w:sz w:val="20"/>
        </w:rPr>
      </w:r>
    </w:p>
    <w:p>
      <w:pPr>
        <w:pStyle w:val="BodyText"/>
        <w:rPr/>
      </w:pPr>
      <w:r>
        <w:rPr/>
        <w:t>If any event happens or any circumstances arise whereby it becomes impossible or impracticable for an Employee to comply with any obligation under these Compliance Procedures or under any applicable law or rule, or where the Employee becomes aware that it will be impossible or impracticable for the Company to comply with any applicable Compliance Procedure, law, or rule, the Employee shall  immediately notify the Legal Department of that event or those circumstances.</w:t>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Arial" w:hAnsi="Arial" w:cs="Arial"/>
          <w:spacing w:val="-2"/>
          <w:sz w:val="20"/>
        </w:rPr>
      </w:pPr>
      <w:r>
        <w:rPr>
          <w:rFonts w:cs="Arial" w:ascii="Arial" w:hAnsi="Arial"/>
          <w:spacing w:val="-2"/>
          <w:sz w:val="20"/>
        </w:rPr>
        <w:t>Any questions concerning these policies should be directed to [               ].</w:t>
      </w:r>
    </w:p>
    <w:sectPr>
      <w:headerReference w:type="default" r:id="rId2"/>
      <w:footerReference w:type="default" r:id="rId3"/>
      <w:type w:val="nextPage"/>
      <w:pgSz w:w="12240" w:h="15840"/>
      <w:pgMar w:left="1440" w:right="1440" w:gutter="0" w:header="432" w:top="1296" w:footer="72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Roman">
    <w:altName w:val="Times New Roman"/>
    <w:charset w:val="00" w:characterSet="windows-1252"/>
    <w:family w:val="swiss"/>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end"/>
      <w:rPr/>
    </w:pPr>
    <w:r>
      <w:rPr/>
      <w:softHyphen/>
    </w:r>
    <w:r>
      <w:rPr>
        <w:sz w:val="16"/>
      </w:rPr>
      <w:t>NYB 1203343.1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100" w:leader="none"/>
      </w:tabs>
      <w:rPr>
        <w:sz w:val="20"/>
      </w:rPr>
    </w:pPr>
    <w:r>
      <w:rPr>
        <w:sz w:val="20"/>
      </w:rPr>
    </w:r>
  </w:p>
  <w:p>
    <w:pPr>
      <w:pStyle w:val="Header"/>
      <w:tabs>
        <w:tab w:val="clear" w:pos="8640"/>
        <w:tab w:val="center" w:pos="4320" w:leader="none"/>
        <w:tab w:val="right" w:pos="8100" w:leader="none"/>
      </w:tabs>
      <w:rPr>
        <w:sz w:val="20"/>
      </w:rPr>
    </w:pPr>
    <w:r>
      <w:rPr>
        <w:sz w:val="20"/>
      </w:rPr>
    </w:r>
  </w:p>
  <w:p>
    <w:pPr>
      <w:pStyle w:val="Header"/>
      <w:tabs>
        <w:tab w:val="clear" w:pos="8640"/>
        <w:tab w:val="center" w:pos="4320" w:leader="none"/>
        <w:tab w:val="right" w:pos="8100" w:leader="none"/>
      </w:tabs>
      <w:jc w:val="end"/>
      <w:rPr>
        <w:sz w:val="22"/>
        <w:u w:val="single"/>
      </w:rPr>
    </w:pPr>
    <w:r>
      <w:rPr>
        <w:sz w:val="22"/>
        <w:u w:val="single"/>
      </w:rPr>
      <w:t>CCRW Draft 11/29/00</w:t>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Roman;Arial Narrow" w:hAnsi="Times-Roman;Arial Narrow" w:eastAsia="Times New Roman" w:cs="Times-Roman;Arial Narrow"/>
      <w:color w:val="auto"/>
      <w:sz w:val="27"/>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7"/>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Times-Roman;Arial Narrow" w:hAnsi="Times-Roman;Arial Narrow" w:cs="Times-Roman;Arial Narrow"/>
      <w:sz w:val="27"/>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Times-Roman;Arial Narrow" w:hAnsi="Times-Roman;Arial Narrow" w:cs="Times-Roman;Arial Narrow"/>
      <w:sz w:val="27"/>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Times-Roman;Arial Narrow" w:hAnsi="Times-Roman;Arial Narrow" w:cs="Times-Roman;Arial Narrow"/>
      <w:sz w:val="27"/>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Times-Roman;Arial Narrow" w:hAnsi="Times-Roman;Arial Narrow" w:cs="Times-Roman;Arial Narrow"/>
      <w:sz w:val="27"/>
      <w:lang w:val="en-US"/>
    </w:rPr>
  </w:style>
  <w:style w:type="character" w:styleId="Technical3">
    <w:name w:val="Technical 3"/>
    <w:basedOn w:val="DefaultParagraphFont"/>
    <w:qFormat/>
    <w:rPr>
      <w:rFonts w:ascii="Times-Roman;Arial Narrow" w:hAnsi="Times-Roman;Arial Narrow" w:cs="Times-Roman;Arial Narrow"/>
      <w:sz w:val="27"/>
      <w:lang w:val="en-US"/>
    </w:rPr>
  </w:style>
  <w:style w:type="character" w:styleId="Technical4">
    <w:name w:val="Technical 4"/>
    <w:basedOn w:val="DefaultParagraphFont"/>
    <w:qFormat/>
    <w:rPr/>
  </w:style>
  <w:style w:type="character" w:styleId="Technical1">
    <w:name w:val="Technical 1"/>
    <w:basedOn w:val="DefaultParagraphFont"/>
    <w:qFormat/>
    <w:rPr>
      <w:rFonts w:ascii="Times-Roman;Arial Narrow" w:hAnsi="Times-Roman;Arial Narrow" w:cs="Times-Roman;Arial Narrow"/>
      <w:sz w:val="27"/>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rFonts w:ascii="Arial" w:hAnsi="Arial" w:cs="Arial"/>
      <w:spacing w:val="-2"/>
      <w:sz w:val="20"/>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Document1">
    <w:name w:val="Document 1"/>
    <w:qFormat/>
    <w:pPr>
      <w:keepNext w:val="true"/>
      <w:keepLines/>
      <w:widowControl w:val="false"/>
      <w:tabs>
        <w:tab w:val="clear" w:pos="720"/>
        <w:tab w:val="left" w:pos="-720" w:leader="none"/>
      </w:tabs>
      <w:suppressAutoHyphens w:val="true"/>
      <w:bidi w:val="0"/>
    </w:pPr>
    <w:rPr>
      <w:rFonts w:ascii="Times-Roman;Arial Narrow" w:hAnsi="Times-Roman;Arial Narrow" w:eastAsia="Times New Roman" w:cs="Times-Roman;Arial Narrow"/>
      <w:color w:val="auto"/>
      <w:sz w:val="27"/>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2000-11-29T19:55:00Z</dcterms:created>
  <dc:creator>ROGERS &amp; WELLS LLP</dc:creator>
  <dc:description/>
  <dc:language>en-CA</dc:language>
  <cp:lastModifiedBy>ROGERS &amp; WELLS LLP</cp:lastModifiedBy>
  <cp:lastPrinted>2000-11-29T17:24:00Z</cp:lastPrinted>
  <dcterms:modified xsi:type="dcterms:W3CDTF">2000-11-29T19:55:00Z</dcterms:modified>
  <cp:revision>2</cp:revision>
  <dc:subject/>
  <dc:title>Trading Compliance Procedures</dc:title>
</cp:coreProperties>
</file>