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before="0" w:after="0"/>
        <w:ind w:hanging="0" w:end="0"/>
        <w:jc w:val="center"/>
        <w:rPr>
          <w:b/>
          <w:bCs/>
          <w:u w:val="single"/>
        </w:rPr>
      </w:pPr>
      <w:r>
        <w:rPr>
          <w:b/>
          <w:bCs/>
          <w:u w:val="single"/>
        </w:rPr>
        <w:t>SoCalGas Advice Letter Summary</w:t>
        <w:br/>
        <w:br/>
        <w:t>November 9, 2001</w:t>
      </w:r>
    </w:p>
    <w:p>
      <w:pPr>
        <w:pStyle w:val="Body"/>
        <w:spacing w:before="0" w:after="0"/>
        <w:ind w:hanging="0" w:end="0"/>
        <w:jc w:val="center"/>
        <w:rPr>
          <w:b/>
          <w:bCs/>
          <w:u w:val="single"/>
        </w:rPr>
      </w:pPr>
      <w:r>
        <w:rPr>
          <w:b/>
          <w:bCs/>
          <w:u w:val="single"/>
        </w:rPr>
      </w:r>
    </w:p>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3075</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10/25/01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11/14/01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BodyText3"/>
              <w:rPr/>
            </w:pPr>
            <w:r>
              <w:rPr/>
              <w:t>This advice letter submits for filing with the Commission a long-term storage contract SoCalGas has executed with Baxter Healthcare Corp.  It is a renewal contract, defined in the letter as meaning, “A customer having a previous long term storage contact that has expired and has signed a new 3 year long-term storage contract with SoCalGas is indicated as a ‘renewed’ contract.”</w:t>
            </w:r>
          </w:p>
          <w:p>
            <w:pPr>
              <w:pStyle w:val="Normal"/>
              <w:jc w:val="both"/>
              <w:rPr/>
            </w:pPr>
            <w:r>
              <w:rPr/>
            </w:r>
          </w:p>
        </w:tc>
      </w:tr>
    </w:tbl>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3076</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10/31/01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11/20/01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jc w:val="both"/>
              <w:rPr/>
            </w:pPr>
            <w:r>
              <w:rPr/>
              <w:t>This routine monthly filing updates the Buy-Back Rates in Schedule No. G-IMB for October 2001.  As authorized in Schedule No. G-IMB - Transportation Imbalance Service, the Buy-Back Rates are established effective the last day of each month.  The Buy-Back Rates will be the lower of 1) the lowest incremental cost of gas purchased by Utility during the month the imbalance was incurred; or 2) 50% of the applicable core subscription procurement charge during the month such excess imbalance was incurred.  During the month of October 2001, 50% of the core subscription procurement charge is lower than the lowest incremental cost of gas. Therefore, the Buy-Back Rates for October 2001 are being set accordingly.</w:t>
            </w:r>
          </w:p>
          <w:p>
            <w:pPr>
              <w:pStyle w:val="Normal"/>
              <w:jc w:val="both"/>
              <w:rPr/>
            </w:pPr>
            <w:r>
              <w:rPr/>
            </w:r>
          </w:p>
        </w:tc>
      </w:tr>
    </w:tbl>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3077</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10/31/01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11/20/01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BodyText3"/>
              <w:rPr/>
            </w:pPr>
            <w:r>
              <w:rPr/>
              <w:t>This routine monthly filing revises the listed tariff rate schedules by updating the retail and wholesale Core Subscription Procurement Charges for November 2001.  D.98-07-068 authorized SoCalGas to 1) change the calculation of its forecasted portfolio weighted average cost of gas using best estimates of the weighted volumes and prices of flowing supplies from the different supply basins delivered to the California/Arizona border for the purposes of calculating its Core Subscription Procurement Charge, and 2) file the Core Subscription Procurement Charge tariffs on the last business day of each month to become effective on the first calendar day of the following month.  For November 2001, the retail Core Subscription Procurement Charge is 28.764¢ per therm, an increase of 13.056¢ per therm from last month. The wholesale Core Subscription Procurement Charge is 28.624¢ per therm, an increase of 12.992¢ per therm.</w:t>
            </w:r>
          </w:p>
          <w:p>
            <w:pPr>
              <w:pStyle w:val="Normal"/>
              <w:jc w:val="both"/>
              <w:rPr/>
            </w:pPr>
            <w:r>
              <w:rPr/>
            </w:r>
          </w:p>
        </w:tc>
      </w:tr>
    </w:tbl>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3078</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10/31/01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11/20/01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jc w:val="both"/>
              <w:rPr/>
            </w:pPr>
            <w:r>
              <w:rPr/>
              <w:t>This routine monthly filing revises the listed tariff rate schedules by updating the Core Procurement Charge for residential customers and for core commercial and industrial customers for November 2001.  For residential customers and for core commercial and industrial customers the November 2001 Core Procurement Charge is 27.703¢ per therm, an increase of 11.794¢ per therm from last month.</w:t>
            </w:r>
          </w:p>
          <w:p>
            <w:pPr>
              <w:pStyle w:val="Normal"/>
              <w:jc w:val="both"/>
              <w:rPr/>
            </w:pPr>
            <w:r>
              <w:rPr/>
            </w:r>
          </w:p>
        </w:tc>
      </w:tr>
    </w:tbl>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2837-A</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11/1/01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11/21/01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BodyText3"/>
              <w:rPr/>
            </w:pPr>
            <w:r>
              <w:rPr/>
              <w:t>This supplemental filing replaces the changes to Rule 30, Transportation of Customer-Owned Gas, proposed by AL2837.  The purpose of this filing is to describe the new internal receipt point operating procedures that SoCalGas is implementing, and to request Commission authorization to include the revised operating procedures in Rule 30. SoCalGas says this step is being taken in anticipation that it will be replaced with a system of firm tradable intrastate transmission rights in Gas Industry Restructuring (GIR) proceeding, I.99-07-003.</w:t>
            </w:r>
          </w:p>
          <w:p>
            <w:pPr>
              <w:pStyle w:val="Normal"/>
              <w:jc w:val="both"/>
              <w:rPr/>
            </w:pPr>
            <w:r>
              <w:rPr/>
            </w:r>
          </w:p>
          <w:p>
            <w:pPr>
              <w:pStyle w:val="Normal"/>
              <w:jc w:val="both"/>
              <w:rPr/>
            </w:pPr>
            <w:r>
              <w:rPr/>
              <w:t xml:space="preserve">During the GIR panel hearings, several parties requested that SoCalGas publish its windowing criteria in tariffs to facilitate a better understanding of the method used to allocate receipt point capacity.  SoCalGas agreed to make such a filing, and D.99-07-015 directed SoCalGas to file an advice letter adding windowing information to its tariffs.  To comply with this directive, on August 6, 1999, SoCalGas filed AL2837, which has not been acted on by the Commission. </w:t>
            </w:r>
          </w:p>
          <w:p>
            <w:pPr>
              <w:pStyle w:val="Normal"/>
              <w:jc w:val="both"/>
              <w:rPr/>
            </w:pPr>
            <w:r>
              <w:rPr/>
            </w:r>
          </w:p>
          <w:p>
            <w:pPr>
              <w:pStyle w:val="Normal"/>
              <w:jc w:val="both"/>
              <w:rPr/>
            </w:pPr>
            <w:r>
              <w:rPr/>
              <w:t xml:space="preserve">Customer complaints about SoCalGas’ windowing procedures have convinced SoCalGas that it should replace its internal windowing operating procedures with a system that is open to the maximum operating capacity at each SoCalGas receipt point.  SoCalGas is making these internal operating changes effective November 1, 2001.  SoCalGas held meetings with upstream pipelines on October 17, and with interested customers and stakeholders on October 18, regarding the upcoming changes.  They were invited to ask any questions in the days leading up to the meetings. </w:t>
            </w:r>
          </w:p>
          <w:p>
            <w:pPr>
              <w:pStyle w:val="Normal"/>
              <w:jc w:val="both"/>
              <w:rPr/>
            </w:pPr>
            <w:r>
              <w:rPr/>
            </w:r>
          </w:p>
        </w:tc>
      </w:tr>
    </w:tbl>
    <w:p>
      <w:pPr>
        <w:pStyle w:val="Body"/>
        <w:spacing w:before="0" w:after="0"/>
        <w:ind w:hanging="0" w:end="0"/>
        <w:jc w:val="both"/>
        <w:rPr/>
      </w:pPr>
      <w:r>
        <w:rPr/>
      </w:r>
    </w:p>
    <w:sectPr>
      <w:headerReference w:type="default" r:id="rId2"/>
      <w:headerReference w:type="first" r:id="rId3"/>
      <w:type w:val="nextPage"/>
      <w:pgSz w:w="12240" w:h="15840"/>
      <w:pgMar w:left="1296" w:right="1296" w:gutter="0" w:header="720" w:top="1152" w:footer="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SoCalGas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PlainText">
    <w:name w:val="Plain Text"/>
    <w:basedOn w:val="Normal"/>
    <w:qFormat/>
    <w:pPr>
      <w:widowControl w:val="false"/>
      <w:spacing w:lineRule="auto" w:line="360"/>
      <w:ind w:firstLine="720" w:start="0" w:end="0"/>
    </w:pPr>
    <w:rPr/>
  </w:style>
  <w:style w:type="paragraph" w:styleId="Body1">
    <w:name w:val="Body1"/>
    <w:basedOn w:val="Normal"/>
    <w:qFormat/>
    <w:pPr>
      <w:spacing w:before="0" w:after="240"/>
      <w:ind w:firstLine="1440" w:start="0" w:end="0"/>
    </w:pPr>
    <w:rPr/>
  </w:style>
  <w:style w:type="paragraph" w:styleId="BodyText3">
    <w:name w:val="Body Text 3"/>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2001-11-09T19:49:00Z</dcterms:created>
  <dc:creator>Arter &amp; Hadden</dc:creator>
  <dc:description/>
  <dc:language>en-CA</dc:language>
  <cp:lastModifiedBy>Daniel W. Douglass</cp:lastModifiedBy>
  <cp:lastPrinted>2001-11-09T15:02:00Z</cp:lastPrinted>
  <dcterms:modified xsi:type="dcterms:W3CDTF">2001-11-09T20:35:00Z</dcterms:modified>
  <cp:revision>7</cp:revision>
  <dc:subject/>
  <dc:title>A</dc:title>
</cp:coreProperties>
</file>