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SDG&amp;E Advice Letter Summary</w:t>
      </w:r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  <w:t>November 9, 2001</w:t>
      </w:r>
      <w:bookmarkStart w:id="0" w:name="zEndAddressee"/>
      <w:bookmarkEnd w:id="0"/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165"/>
        <w:gridCol w:w="298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1373-E / 1281-G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10/26/01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11/15/01</w:t>
            </w:r>
          </w:p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Cs/>
                <w:u w:val="single"/>
              </w:rPr>
            </w:pPr>
            <w:r>
              <w:rPr/>
              <w:t>The purpose of this advice letter is to seek approval of a new contract with the U.S. Government for infrastructure improvement project management.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165"/>
        <w:gridCol w:w="298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1374-E / 1282-G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10/26/01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11/15/01</w:t>
            </w:r>
          </w:p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Cs/>
                <w:u w:val="single"/>
              </w:rPr>
            </w:pPr>
            <w:r>
              <w:rPr/>
              <w:t>The purpose of this filing is to add the Campbell Shipyard to the list of Covered Hazardous Substance Cleanup Sites.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165"/>
        <w:gridCol w:w="298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1283-G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10/31/01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11/20/01</w:t>
            </w:r>
          </w:p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Cs/>
                <w:u w:val="single"/>
              </w:rPr>
            </w:pPr>
            <w:r>
              <w:rPr/>
              <w:t>The purpose of this filing is to notify the Commission of the revision of gas transportation rates and gas Public Purpose Program tax surcharge rates pursuant to D.00-04-060, in the utility’s 1999 BCAP proceeding.  The revisions are due to updates of the gas balancing accounts amortization, the SoCalGas transportation costs allocated to SDG&amp;E and core de-averaging.  The letter also says that SDG&amp;E is terminating its Natural Gas Vehicle balancing account.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165"/>
        <w:gridCol w:w="298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1323-E-A / 1251–G-A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115/01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11/25/01</w:t>
            </w:r>
          </w:p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Cs/>
                <w:u w:val="single"/>
              </w:rPr>
            </w:pPr>
            <w:r>
              <w:rPr/>
              <w:t>The purpose of this filing is to clarify the utility’s request to offer an additional payment option for electric and gas customers.  Specifically, they seek authority to implement a credit/debit card payment option program.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165"/>
        <w:gridCol w:w="298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1284-G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11/6/01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11/26/01</w:t>
            </w:r>
          </w:p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Cs/>
                <w:u w:val="single"/>
              </w:rPr>
            </w:pPr>
            <w:r>
              <w:rPr/>
              <w:t>This routine monthly filing updates changes to various of the utility’s gas tariff schedules.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165"/>
        <w:gridCol w:w="298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 xml:space="preserve">1375-E 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11/8/01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11/28/01</w:t>
            </w:r>
          </w:p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21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</w:rPr>
              <w:t>The purpose of this filing is to revise Schedule EECC, Electric Energy Commodity Cost, in compliance with Decision 01-11-021.  This decision authorized SDG&amp;E to revise Schedule EECC in order to correct the commodity rates for residential TOU rate schedules DR-TOU and DR-TOU2, and to make other minor clean-up changes for clarity purposes.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cs="Times New Roman"/>
                <w:b/>
                <w:bCs/>
                <w:u w:val="single"/>
              </w:rPr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576" w:top="1152" w:footer="288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</w:rPr>
            <w:fldChar w:fldCharType="begin"/>
          </w:r>
          <w:r>
            <w:rPr>
              <w:rStyle w:val="PageNumber"/>
              <w:sz w:val="24"/>
            </w:rPr>
            <w:instrText xml:space="preserve"> PAGE </w:instrText>
          </w:r>
          <w:r>
            <w:rPr>
              <w:rStyle w:val="PageNumber"/>
              <w:sz w:val="24"/>
            </w:rPr>
            <w:fldChar w:fldCharType="separate"/>
          </w:r>
          <w:r>
            <w:rPr>
              <w:rStyle w:val="PageNumber"/>
              <w:sz w:val="24"/>
            </w:rPr>
            <w:t>2</w:t>
          </w:r>
          <w:r>
            <w:rPr>
              <w:rStyle w:val="PageNumber"/>
              <w:sz w:val="24"/>
            </w:rPr>
            <w:fldChar w:fldCharType="end"/>
          </w:r>
          <w:r>
            <w:rPr>
              <w:rStyle w:val="PageNumber"/>
              <w:sz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SDG&amp;E Advice Letter Summary</w:t>
    </w:r>
  </w:p>
  <w:p>
    <w:pPr>
      <w:pStyle w:val="Header"/>
      <w:widowControl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widowControl/>
      <w:rPr>
        <w:rStyle w:val="PageNumber"/>
        <w:sz w:val="24"/>
      </w:rPr>
    </w:pPr>
    <w:r>
      <w:rPr/>
    </w:r>
  </w:p>
  <w:p>
    <w:pPr>
      <w:pStyle w:val="Header"/>
      <w:widowControl/>
      <w:rPr>
        <w:rStyle w:val="PageNumber"/>
        <w:sz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vertAlign w:val="superscript"/>
    </w:rPr>
  </w:style>
  <w:style w:type="character" w:styleId="PageNumber">
    <w:name w:val="page number"/>
    <w:basedOn w:val="DefaultParagraphFont"/>
    <w:rPr>
      <w:sz w:val="20"/>
    </w:rPr>
  </w:style>
  <w:style w:type="character" w:styleId="Bold">
    <w:name w:val="Bold"/>
    <w:basedOn w:val="DefaultParagraphFont"/>
    <w:qFormat/>
    <w:rPr>
      <w:b/>
      <w:sz w:val="20"/>
    </w:rPr>
  </w:style>
  <w:style w:type="character" w:styleId="BoldUnd">
    <w:name w:val="BoldUnd"/>
    <w:basedOn w:val="DefaultParagraphFont"/>
    <w:qFormat/>
    <w:rPr>
      <w:b/>
      <w:sz w:val="20"/>
      <w:u w:val="single"/>
    </w:rPr>
  </w:style>
  <w:style w:type="character" w:styleId="Underline">
    <w:name w:val="Underline"/>
    <w:basedOn w:val="DefaultParagraphFont"/>
    <w:qFormat/>
    <w:rPr>
      <w:sz w:val="20"/>
      <w:u w:val="single"/>
    </w:rPr>
  </w:style>
  <w:style w:type="character" w:styleId="FieldMark">
    <w:name w:val="FieldMark"/>
    <w:basedOn w:val="DefaultParagraphFont"/>
    <w:qFormat/>
    <w:rPr>
      <w:b/>
      <w:color w:val="0000FF"/>
      <w:sz w:val="20"/>
    </w:rPr>
  </w:style>
  <w:style w:type="character" w:styleId="OptionalParas">
    <w:name w:val="OptionalParas"/>
    <w:basedOn w:val="DefaultParagraphFont"/>
    <w:qFormat/>
    <w:rPr>
      <w:color w:val="0000FF"/>
      <w:sz w:val="20"/>
    </w:rPr>
  </w:style>
  <w:style w:type="character" w:styleId="Strong">
    <w:name w:val="Strong"/>
    <w:qFormat/>
    <w:rPr>
      <w:b/>
      <w:sz w:val="20"/>
    </w:rPr>
  </w:style>
  <w:style w:type="character" w:styleId="DocTitle">
    <w:name w:val="DocTitle"/>
    <w:basedOn w:val="DefaultParagraphFont"/>
    <w:qFormat/>
    <w:rPr>
      <w:b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2">
    <w:name w:val="Body Text 2"/>
    <w:basedOn w:val="Normal"/>
    <w:qFormat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odyText21">
    <w:name w:val="Body Text 21"/>
    <w:basedOn w:val="Normal"/>
    <w:qFormat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qFormat/>
    <w:pPr>
      <w:widowControl/>
      <w:spacing w:before="100" w:after="100"/>
    </w:pPr>
    <w:rPr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2001-11-09T20:38:00Z</dcterms:created>
  <dc:creator>Arter &amp; Hadden</dc:creator>
  <dc:description/>
  <dc:language>en-CA</dc:language>
  <cp:lastModifiedBy>Daniel W. Douglass</cp:lastModifiedBy>
  <cp:lastPrinted>2001-11-09T15:29:00Z</cp:lastPrinted>
  <dcterms:modified xsi:type="dcterms:W3CDTF">2001-11-09T20:59:00Z</dcterms:modified>
  <cp:revision>4</cp:revision>
  <dc:subject/>
  <dc:title>A</dc:title>
</cp:coreProperties>
</file>