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UNITED STATES OF AMERICA</w:t>
      </w:r>
    </w:p>
    <w:p>
      <w:pPr>
        <w:pStyle w:val="Normal"/>
        <w:widowControl/>
        <w:jc w:val="center"/>
        <w:rPr>
          <w:b/>
        </w:rPr>
      </w:pPr>
      <w:r>
        <w:rPr>
          <w:b/>
        </w:rPr>
        <w:t>FEDERAL ENERGY REGULATORY COMMISSION</w:t>
      </w:r>
    </w:p>
    <w:p>
      <w:pPr>
        <w:pStyle w:val="Normal"/>
        <w:widowControl/>
        <w:jc w:val="center"/>
        <w:rPr>
          <w:b/>
        </w:rPr>
      </w:pPr>
      <w:r>
        <w:rPr>
          <w:b/>
        </w:rPr>
      </w:r>
    </w:p>
    <w:p>
      <w:pPr>
        <w:pStyle w:val="Normal"/>
        <w:widowControl/>
        <w:jc w:val="center"/>
        <w:rPr>
          <w:b/>
        </w:rPr>
      </w:pPr>
      <w:r>
        <w:rPr>
          <w:b/>
        </w:rPr>
      </w:r>
    </w:p>
    <w:p>
      <w:pPr>
        <w:pStyle w:val="Normal"/>
        <w:widowContro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bottom w:val="single" w:sz="4" w:space="0" w:color="000000"/>
              <w:end w:val="single" w:sz="4" w:space="0" w:color="000000"/>
            </w:tcBorders>
          </w:tcPr>
          <w:p>
            <w:pPr>
              <w:pStyle w:val="Normal"/>
              <w:widowControl/>
              <w:rPr/>
            </w:pPr>
            <w:r>
              <w:rPr/>
              <w:t>Investigation of Wholesale Rates of Public Utility Sellers of Energy and Ancillary Services in the Western Systems Coordinating Council</w:t>
            </w:r>
          </w:p>
        </w:tc>
        <w:tc>
          <w:tcPr>
            <w:tcW w:w="4788" w:type="dxa"/>
            <w:tcBorders>
              <w:start w:val="single" w:sz="4" w:space="0" w:color="000000"/>
            </w:tcBorders>
          </w:tcPr>
          <w:p>
            <w:pPr>
              <w:pStyle w:val="Normal"/>
              <w:widowControl/>
              <w:snapToGrid w:val="false"/>
              <w:rPr/>
            </w:pPr>
            <w:r>
              <w:rPr/>
            </w:r>
          </w:p>
          <w:p>
            <w:pPr>
              <w:pStyle w:val="Normal"/>
              <w:widowControl/>
              <w:rPr/>
            </w:pPr>
            <w:r>
              <w:rPr/>
              <w:t xml:space="preserve">               </w:t>
            </w:r>
            <w:r>
              <w:rPr/>
              <w:t>Docket No. EL01-68-000</w:t>
            </w:r>
          </w:p>
        </w:tc>
      </w:tr>
    </w:tbl>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COMMENTS OF THE WESTERN POWER TRADING FORUM</w:t>
      </w:r>
    </w:p>
    <w:p>
      <w:pPr>
        <w:pStyle w:val="Normal"/>
        <w:widowControl/>
        <w:jc w:val="center"/>
        <w:rPr/>
      </w:pPr>
      <w:r>
        <w:rPr>
          <w:b/>
        </w:rPr>
        <w:t>CONCERNING WEST-WIDE PRICE MITIGATION FOR THE WINTER SEASON</w:t>
      </w:r>
      <w:r>
        <w:rPr/>
        <w:t xml:space="preserve"> </w:t>
      </w:r>
    </w:p>
    <w:p>
      <w:pPr>
        <w:pStyle w:val="Normal"/>
        <w:widowControl/>
        <w:jc w:val="center"/>
        <w:rPr/>
      </w:pPr>
      <w:r>
        <w:rPr/>
      </w:r>
    </w:p>
    <w:p>
      <w:pPr>
        <w:pStyle w:val="Normal"/>
        <w:widowControl/>
        <w:rPr/>
      </w:pPr>
      <w:r>
        <w:rPr/>
      </w:r>
    </w:p>
    <w:p>
      <w:pPr>
        <w:pStyle w:val="BodyTextStyle"/>
        <w:jc w:val="both"/>
        <w:rPr>
          <w:rFonts w:ascii="Times New Roman" w:hAnsi="Times New Roman" w:cs="Times New Roman"/>
          <w:vertAlign w:val="superscript"/>
        </w:rPr>
      </w:pPr>
      <w:r>
        <w:rPr>
          <w:rFonts w:cs="Times New Roman" w:ascii="Times New Roman" w:hAnsi="Times New Roman"/>
        </w:rPr>
        <w:t>On June 19, 2001, the Federal Energy Regulatory Commission (“Commission”)</w:t>
      </w:r>
      <w:r>
        <w:rPr/>
        <w:t xml:space="preserve"> </w:t>
      </w:r>
      <w:r>
        <w:rPr>
          <w:rFonts w:cs="Times New Roman" w:ascii="Times New Roman" w:hAnsi="Times New Roman"/>
        </w:rPr>
        <w:t>issued an Order on Rehearing of Monitoring and Mitigation Plan for the California Wholesale Electric Markets, Establishing West-Wide Mitigation, and Establishing Settlement Conference (June 19</w:t>
      </w:r>
      <w:r>
        <w:rPr>
          <w:rFonts w:cs="Times New Roman" w:ascii="Times New Roman" w:hAnsi="Times New Roman"/>
          <w:vertAlign w:val="superscript"/>
        </w:rPr>
        <w:t>th</w:t>
      </w:r>
      <w:r>
        <w:rPr>
          <w:rFonts w:cs="Times New Roman" w:ascii="Times New Roman" w:hAnsi="Times New Roman"/>
        </w:rPr>
        <w:t xml:space="preserve"> Order).  In that Order, the Commission modified its April 26</w:t>
      </w:r>
      <w:r>
        <w:rPr>
          <w:rFonts w:cs="Times New Roman" w:ascii="Times New Roman" w:hAnsi="Times New Roman"/>
          <w:vertAlign w:val="superscript"/>
        </w:rPr>
        <w:t>th</w:t>
      </w:r>
      <w:r>
        <w:rPr>
          <w:rFonts w:cs="Times New Roman" w:ascii="Times New Roman" w:hAnsi="Times New Roman"/>
        </w:rPr>
        <w:t xml:space="preserve"> Order,</w:t>
      </w:r>
      <w:r>
        <w:rPr>
          <w:rStyle w:val="FootnoteCharacters"/>
          <w:rStyle w:val="FootnoteReference"/>
          <w:rFonts w:cs="Times New Roman" w:ascii="Times New Roman" w:hAnsi="Times New Roman"/>
          <w:vertAlign w:val="superscript"/>
        </w:rPr>
        <w:footnoteReference w:id="2"/>
      </w:r>
      <w:r>
        <w:rPr>
          <w:rFonts w:cs="Times New Roman" w:ascii="Times New Roman" w:hAnsi="Times New Roman"/>
          <w:vertAlign w:val="superscript"/>
        </w:rPr>
        <w:t xml:space="preserve"> </w:t>
      </w:r>
      <w:r>
        <w:rPr>
          <w:rFonts w:cs="Times New Roman" w:ascii="Times New Roman" w:hAnsi="Times New Roman"/>
        </w:rPr>
        <w:t>putting into place a market monitoring and mitigation plan to replace the $150/MWh “breakpoint” for real-time energy markets adopted in the December 15</w:t>
      </w:r>
      <w:r>
        <w:rPr>
          <w:rFonts w:cs="Times New Roman" w:ascii="Times New Roman" w:hAnsi="Times New Roman"/>
          <w:vertAlign w:val="superscript"/>
        </w:rPr>
        <w:t>th</w:t>
      </w:r>
      <w:r>
        <w:rPr>
          <w:rFonts w:cs="Times New Roman" w:ascii="Times New Roman" w:hAnsi="Times New Roman"/>
        </w:rPr>
        <w:t xml:space="preserve"> Order. </w:t>
      </w:r>
      <w:r>
        <w:rPr>
          <w:rStyle w:val="FootnoteCharacters"/>
          <w:rStyle w:val="FootnoteReference"/>
          <w:rFonts w:cs="Times New Roman" w:ascii="Times New Roman" w:hAnsi="Times New Roman"/>
          <w:vertAlign w:val="superscript"/>
        </w:rPr>
        <w:footnoteReference w:id="3"/>
      </w:r>
    </w:p>
    <w:p>
      <w:pPr>
        <w:pStyle w:val="Normal"/>
        <w:widowControl/>
        <w:tabs>
          <w:tab w:val="clear" w:pos="720"/>
          <w:tab w:val="center" w:pos="4680" w:leader="none"/>
        </w:tabs>
        <w:spacing w:lineRule="auto" w:line="480"/>
        <w:ind w:firstLine="720" w:end="0"/>
        <w:jc w:val="both"/>
        <w:rPr/>
      </w:pPr>
      <w:r>
        <w:rPr/>
        <w:t>On Monday, October 29, 2001, the Commission held a technical conference with regard to the June 19</w:t>
      </w:r>
      <w:r>
        <w:rPr>
          <w:vertAlign w:val="superscript"/>
        </w:rPr>
        <w:t>th</w:t>
      </w:r>
      <w:r>
        <w:rPr/>
        <w:t xml:space="preserve"> Order.  The technical conference addressed possible modifications to the current West-wide price mitigation methodology for the winter season.  The October 12, 2001 Notice concerning the technical conference invited parties to submit written comments on matters addressed at the conference.  The Commission required these comments to be submitted on or before November 9, 2001, in the above-captioned proceedings.  The Western Power Trading Forum (“WPTF”) hereby files its comments in response to that invitation.</w:t>
      </w:r>
    </w:p>
    <w:p>
      <w:pPr>
        <w:pStyle w:val="Normal"/>
        <w:widowControl/>
        <w:rPr/>
      </w:pPr>
      <w:r>
        <w:rPr/>
      </w:r>
    </w:p>
    <w:p>
      <w:pPr>
        <w:pStyle w:val="QA"/>
        <w:widowControl/>
        <w:spacing w:lineRule="auto" w:line="480"/>
        <w:ind w:firstLine="720" w:start="0" w:end="0"/>
        <w:jc w:val="both"/>
        <w:rPr/>
      </w:pPr>
      <w:r>
        <w:rPr>
          <w:b/>
        </w:rPr>
        <w:t xml:space="preserve">A.  </w:t>
      </w:r>
      <w:r>
        <w:rPr>
          <w:b/>
          <w:u w:val="single"/>
        </w:rPr>
        <w:t>The Identity of WPTF and Its Interest in This Proceeding.</w:t>
      </w:r>
    </w:p>
    <w:p>
      <w:pPr>
        <w:pStyle w:val="QA"/>
        <w:widowControl/>
        <w:spacing w:lineRule="auto" w:line="480"/>
        <w:ind w:firstLine="720" w:start="0" w:end="0"/>
        <w:jc w:val="both"/>
        <w:rPr/>
      </w:pPr>
      <w:r>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The WPTF provides a voice through which members can influence the development of market structures throughout the region.  </w:t>
      </w:r>
    </w:p>
    <w:p>
      <w:pPr>
        <w:pStyle w:val="BodyTextIndent"/>
        <w:spacing w:lineRule="auto" w:line="480"/>
        <w:rPr>
          <w:b/>
        </w:rPr>
      </w:pPr>
      <w:r>
        <w:rPr/>
        <w:t xml:space="preserve">The membership of WPTF includes energy service providers, scheduling coordinators, generators, federal and state power agencies, municipal utilities, an energy software developer, energy consultants, and a power exchange, all of which are active participants in the restructured California electricity market.  WPTF has a vital interest in the development of a competitive electric market and in the reduction of barriers that may exist in the very structure of new markets. </w:t>
      </w:r>
    </w:p>
    <w:p>
      <w:pPr>
        <w:pStyle w:val="Normal"/>
        <w:widowControl/>
        <w:ind w:firstLine="720" w:end="0"/>
        <w:rPr>
          <w:b/>
        </w:rPr>
      </w:pPr>
      <w:r>
        <w:rPr>
          <w:b/>
        </w:rPr>
      </w:r>
    </w:p>
    <w:p>
      <w:pPr>
        <w:pStyle w:val="Normal"/>
        <w:widowControl/>
        <w:numPr>
          <w:ilvl w:val="0"/>
          <w:numId w:val="1"/>
        </w:numPr>
        <w:rPr>
          <w:b/>
          <w:u w:val="single"/>
        </w:rPr>
      </w:pPr>
      <w:r>
        <w:rPr>
          <w:b/>
          <w:u w:val="single"/>
        </w:rPr>
        <w:t>Summary of Comments.</w:t>
      </w:r>
    </w:p>
    <w:p>
      <w:pPr>
        <w:pStyle w:val="Normal"/>
        <w:widowControl/>
        <w:ind w:start="720" w:end="0"/>
        <w:rPr>
          <w:b/>
          <w:u w:val="single"/>
        </w:rPr>
      </w:pPr>
      <w:r>
        <w:rPr>
          <w:b/>
          <w:u w:val="single"/>
        </w:rPr>
      </w:r>
    </w:p>
    <w:p>
      <w:pPr>
        <w:pStyle w:val="Normal"/>
        <w:widowControl/>
        <w:spacing w:lineRule="auto" w:line="480"/>
        <w:ind w:firstLine="720" w:end="0"/>
        <w:jc w:val="both"/>
        <w:rPr/>
      </w:pPr>
      <w:r>
        <w:rPr/>
        <w:t xml:space="preserve">The October 12 Notice issued concerning the technical conference suggested that possible modifications to the current price mitigation methodology might include such options as:  (1) elimination of the 10 percent adder for sales into California; and (2) requiring the California Independent System Operator not only to recalculate the price for spot market transactions when there is a Stage 1 reserve deficiency, but also recalculate the price when the average of the three gas indices increase by 10 percent above the level last used for calculating the mitigated price.   WPTF does </w:t>
      </w:r>
      <w:r>
        <w:rPr>
          <w:b/>
        </w:rPr>
        <w:t>not</w:t>
      </w:r>
      <w:r>
        <w:rPr/>
        <w:t xml:space="preserve"> comment herein on either of these proposals.</w:t>
      </w:r>
    </w:p>
    <w:p>
      <w:pPr>
        <w:pStyle w:val="BodyTextIndent"/>
        <w:spacing w:lineRule="auto" w:line="480"/>
        <w:rPr/>
      </w:pPr>
      <w:r>
        <w:rPr/>
        <w:t xml:space="preserve">However, WPTF reiterates that it is fundamentally opposed to price caps, whether they operate under the guise of, “market mitigation measures” or some other nomenclature.  As WPTF has noted in numerous prior filings, price caps discourage the investment in and construction of new generation assets.  Moreover, whether price caps are set on an interregional, inter-market, or inter-temporal basis, they cause unintended negative effects in other areas and motivate market participants to engage in elaborate exercises to avoid the caps.  This may result in higher overall energy costs or it may encourage sellers to migrate to other markets with higher caps or no caps at all.  </w:t>
      </w:r>
    </w:p>
    <w:p>
      <w:pPr>
        <w:pStyle w:val="BodyTextIndent"/>
        <w:spacing w:lineRule="auto" w:line="480"/>
        <w:rPr>
          <w:b/>
        </w:rPr>
      </w:pPr>
      <w:r>
        <w:rPr/>
        <w:t xml:space="preserve">Furthermore, as noted below in greater detail, the use of the California marginal unit for setting west-wide mitigation prices has the serious potential to cause anomalous results in areas outside of California.  WPTF therefore recommends that the Commission temporarily lift the price mitigation for the winter months and in its place institute circuit breaker rules set at regionally appropriate levels that reflect the opportunity cost of hydroelectric power, the critical resource of the region. </w:t>
      </w:r>
    </w:p>
    <w:p>
      <w:pPr>
        <w:pStyle w:val="BodyTextIndent"/>
        <w:spacing w:lineRule="auto" w:line="480"/>
        <w:rPr>
          <w:b/>
        </w:rPr>
      </w:pPr>
      <w:r>
        <w:rPr>
          <w:b/>
        </w:rPr>
      </w:r>
    </w:p>
    <w:p>
      <w:pPr>
        <w:pStyle w:val="BodyTextIndent"/>
        <w:spacing w:lineRule="auto" w:line="480"/>
        <w:rPr>
          <w:b/>
        </w:rPr>
      </w:pPr>
      <w:r>
        <w:rPr>
          <w:b/>
        </w:rPr>
        <w:t xml:space="preserve">C.  </w:t>
      </w:r>
      <w:r>
        <w:rPr>
          <w:b/>
          <w:u w:val="single"/>
        </w:rPr>
        <w:t>The June 19</w:t>
      </w:r>
      <w:r>
        <w:rPr>
          <w:b/>
          <w:u w:val="single"/>
          <w:vertAlign w:val="superscript"/>
        </w:rPr>
        <w:t>th</w:t>
      </w:r>
      <w:r>
        <w:rPr>
          <w:b/>
          <w:u w:val="single"/>
        </w:rPr>
        <w:t xml:space="preserve"> Order Can Cause Anomalous Results Outside California.</w:t>
      </w:r>
    </w:p>
    <w:p>
      <w:pPr>
        <w:pStyle w:val="BodyTextIndent"/>
        <w:spacing w:lineRule="auto" w:line="480"/>
        <w:rPr/>
      </w:pPr>
      <w:r>
        <w:rPr/>
        <w:t>WPTF comments favorably herein on the prepared testimony of Dr. Richard D. Tabors, who testified on behalf of the Transaction Finality Group (“TFG”), a group of market participants in the Pacific Northwest.  Dr. Tabors noted that the Western power grid was designed to be strongly integrated both physically and as a market.  However, California is not, nor has it ever been, the only market in the West.  Dr. Tabors concludes that the Commission’s focus on California and its earlier market disruptions has led it to put in place certain price mitigation mechanisms that are not justified by current events.  For example, the Commission needs to recognize that prices in the Western forward markets have dropped to levels that are extremely reasonable.  Prices below $40/MWh has enabled power marketers and consumers alike to lock in highly favorable prices for their projected winter demand.  This fact alone raises questions as to the necessity for the Commission to continue its current price mitigation mechanism.  It in fact supports the adoption of a less intrusive and simpler to implement mechanism, such as a “circuit breaker” approach.</w:t>
      </w:r>
    </w:p>
    <w:p>
      <w:pPr>
        <w:pStyle w:val="BodyTextIndent"/>
        <w:spacing w:lineRule="auto" w:line="480"/>
        <w:rPr/>
      </w:pPr>
      <w:r>
        <w:rPr/>
        <w:t xml:space="preserve">The Commission’s mechanism appears premised on the assumption that the Western Interconnection is an interdependent market for which there it is desirable for there to be a single market price.  This premise ignores the existence of seasonal variations in supply/demand profiles in different geographic regions.  Moreover, it leads to such incongruities as setting prices in the winter peaking Northwest based on prices set in the summer peaking California market.  This is simply not economically justifiable.  </w:t>
      </w:r>
    </w:p>
    <w:p>
      <w:pPr>
        <w:pStyle w:val="BodyTextIndent"/>
        <w:spacing w:lineRule="auto" w:line="480"/>
        <w:rPr/>
      </w:pPr>
      <w:r>
        <w:rPr>
          <w:color w:val="000000"/>
        </w:rPr>
        <w:t>In its comments filed sixty days after the Commission’s June 19</w:t>
      </w:r>
      <w:r>
        <w:rPr>
          <w:color w:val="000000"/>
          <w:vertAlign w:val="superscript"/>
        </w:rPr>
        <w:t>th</w:t>
      </w:r>
      <w:r>
        <w:rPr>
          <w:color w:val="000000"/>
        </w:rPr>
        <w:t xml:space="preserve"> Order,</w:t>
      </w:r>
      <w:r>
        <w:rPr>
          <w:rStyle w:val="FootnoteCharacters"/>
          <w:rStyle w:val="FootnoteReference"/>
          <w:color w:val="000000"/>
          <w:vertAlign w:val="superscript"/>
        </w:rPr>
        <w:footnoteReference w:id="4"/>
      </w:r>
      <w:r>
        <w:rPr>
          <w:color w:val="000000"/>
        </w:rPr>
        <w:t xml:space="preserve"> WPTF noted that it is logical to use the California marginal unit to set the price during the summer.  The use of California data on a year round basis, however, presents the Commission with a dilemma.  Information is captured in California that makes it relatively easy to determine the identity of the marginal unit.  Information is less available in other regions.  Nevertheless, the Commission should examine other options, as described in the following section, for determining how it could implement the use of the WSCC-wide marginal unit, regardless of the season, to set prices for the entire WSCC.</w:t>
      </w:r>
    </w:p>
    <w:p>
      <w:pPr>
        <w:pStyle w:val="BodyTextIndent"/>
        <w:spacing w:lineRule="auto" w:line="480"/>
        <w:rPr/>
      </w:pPr>
      <w:r>
        <w:rPr>
          <w:color w:val="000000"/>
        </w:rPr>
        <w:t>The existing mechanism has the clear potential for producing anomalous results in other WSCC regions outside of California.  As noted above, the Northwest is a winter peaking area.  It is highly unlikely that the marginal unit in the WSCC during the winter will be located in California.  It should, logically, be located in the Northwest where demand is peaking.  However, the June 19</w:t>
      </w:r>
      <w:r>
        <w:rPr>
          <w:color w:val="000000"/>
          <w:vertAlign w:val="superscript"/>
        </w:rPr>
        <w:t>th</w:t>
      </w:r>
      <w:r>
        <w:rPr>
          <w:color w:val="000000"/>
        </w:rPr>
        <w:t xml:space="preserve"> Order overlooks this fact.  We therefore have the potential that, as winter approaches, the mitigation methodology could contribute to the occurrence of shortages in the Northwest.</w:t>
      </w:r>
    </w:p>
    <w:p>
      <w:pPr>
        <w:pStyle w:val="BodyTextIndent"/>
        <w:spacing w:lineRule="auto" w:line="480"/>
        <w:rPr/>
      </w:pPr>
      <w:r>
        <w:rPr/>
        <w:t xml:space="preserve">WPTF also notes that the decline in forward prices has caused load-serving entities in California and the Northwest to have sufficient supplies under contract to meet their projected winter peaking requirements.  Despite the entire furor in the past over price disruptions in California, markets in the rest of the West have remained workably competitive.  As noted by Dr. Tabors, “Based on these realities of the Western market </w:t>
      </w:r>
      <w:r>
        <w:rPr>
          <w:u w:val="single"/>
        </w:rPr>
        <w:t>there is little justification for maintaining a price cap for this winter and no justification for basing a cap on summer conditions in California</w:t>
      </w:r>
      <w:r>
        <w:rPr/>
        <w:t>.” [Emphasis added.]</w:t>
      </w:r>
    </w:p>
    <w:p>
      <w:pPr>
        <w:pStyle w:val="BodyTextIndent"/>
        <w:spacing w:lineRule="auto" w:line="480"/>
        <w:rPr/>
      </w:pPr>
      <w:r>
        <w:rPr/>
      </w:r>
    </w:p>
    <w:p>
      <w:pPr>
        <w:pStyle w:val="BodyTextIndent"/>
        <w:spacing w:lineRule="auto" w:line="480"/>
        <w:rPr/>
      </w:pPr>
      <w:r>
        <w:rPr>
          <w:b/>
        </w:rPr>
        <w:t xml:space="preserve">D.  </w:t>
      </w:r>
      <w:r>
        <w:rPr>
          <w:b/>
          <w:u w:val="single"/>
        </w:rPr>
        <w:t>The Commission Should Institute Regionally Based “Circuit Breaker” Rules.</w:t>
      </w:r>
    </w:p>
    <w:p>
      <w:pPr>
        <w:pStyle w:val="BodyTextIndent"/>
        <w:widowControl w:val="false"/>
        <w:spacing w:lineRule="auto" w:line="480"/>
        <w:rPr/>
      </w:pPr>
      <w:r>
        <w:rPr/>
        <w:t xml:space="preserve">As noted above, there are inherent risks associated with maintaining the use of a price cap based on summer conditions in California.  WPTF urges the Commission to instead focus on the opportunity cost of hydroelectric power, the critical resource of the region.  Hydropower plays the critical resource role in Western markets.  Hydroelectric resources are extremely robust and their variability is admirably suited to responding to peak demand needs.  As a result, the West can expect that peak thermal generation will play a far less important role than in the recent past.  As noted by Dr. Tabors, “Years may pass when peakers are not called to generate a single kWh.  Then will come the summers of 2000 and 2001 when they will be called upon constantly.” </w:t>
      </w:r>
    </w:p>
    <w:p>
      <w:pPr>
        <w:pStyle w:val="BodyTextIndent"/>
        <w:widowControl w:val="false"/>
        <w:spacing w:lineRule="auto" w:line="480"/>
        <w:rPr/>
      </w:pPr>
      <w:r>
        <w:rPr/>
        <w:t>If the Commission feels the need for a continued price mitigation measure, then it should seek to promote two goals: regional accuracy and ease of implementation.  The current system, based on California thermal peakers accomplishes neither.  As noted in the previous section, it has the alarming potential for causing anomalous results in Northwest markets and the system is certainly neither easy to understand nor to implement. As the Commission is well aware, there have been disputes by market participants and the California ISO regarding the definition of a stage one alert (i.e., full hour or less), as well as other implementation issues.</w:t>
      </w:r>
    </w:p>
    <w:p>
      <w:pPr>
        <w:pStyle w:val="Normal"/>
        <w:spacing w:lineRule="auto" w:line="480"/>
        <w:ind w:firstLine="720" w:end="0"/>
        <w:jc w:val="both"/>
        <w:rPr>
          <w:b/>
        </w:rPr>
      </w:pPr>
      <w:r>
        <w:rPr/>
        <w:t xml:space="preserve">It would be far more logical, should the Commission choose to continue to require some form of price mitigation device, to institute circuit breaker rules set at regionally appropriate levels that reflect the opportunity cost of hydro, the critical resource of the region.  Such a step would also bring with it the virtue of simplicity, as it would be far easier to determine this number than under the current methodology. </w:t>
      </w:r>
    </w:p>
    <w:p>
      <w:pPr>
        <w:pStyle w:val="Normal"/>
        <w:jc w:val="both"/>
        <w:rPr>
          <w:b/>
        </w:rPr>
      </w:pPr>
      <w:r>
        <w:rPr>
          <w:b/>
        </w:rPr>
      </w:r>
    </w:p>
    <w:p>
      <w:pPr>
        <w:pStyle w:val="Normal"/>
        <w:spacing w:before="0" w:after="240"/>
        <w:ind w:firstLine="720" w:end="0"/>
        <w:jc w:val="both"/>
        <w:rPr/>
      </w:pPr>
      <w:r>
        <w:rPr>
          <w:b/>
        </w:rPr>
        <w:t xml:space="preserve">E.  </w:t>
      </w:r>
      <w:r>
        <w:rPr>
          <w:b/>
          <w:u w:val="single"/>
        </w:rPr>
        <w:t>Conclusion</w:t>
      </w:r>
    </w:p>
    <w:p>
      <w:pPr>
        <w:pStyle w:val="BodyTextIndent"/>
        <w:widowControl w:val="false"/>
        <w:spacing w:lineRule="auto" w:line="480"/>
        <w:rPr/>
      </w:pPr>
      <w:r>
        <w:rPr/>
        <w:t>The Commission should be wary of continuing with the current price mitigation methodology.  In the unlikely event there is a severe cold period in the Pacific Northwest, market disruptions and dislocations of fuel and electricity could lead to regional shortages and possible blackouts.  The Commission can ill afford another dead cat at its doorstep.  If there is no severe weather and we sail through the winter relatively unscathed, tweaks to the existing price cap mechanism will not be worth the effort.  But should a severe and prolonged cold snap occur, with accompanying outages, the existing price cap mechanism could be calamitous.  Rather than risk the outcome of a small probability event, the Commission would be wiser to temporarily lift the price cap for the winter months, and establish a reasonable circuit breaker price in its place.</w:t>
      </w:r>
    </w:p>
    <w:p>
      <w:pPr>
        <w:pStyle w:val="Normal"/>
        <w:ind w:firstLine="5040" w:end="0"/>
        <w:rPr/>
      </w:pPr>
      <w:r>
        <w:rPr/>
      </w:r>
    </w:p>
    <w:p>
      <w:pPr>
        <w:pStyle w:val="Normal"/>
        <w:ind w:firstLine="5040" w:end="0"/>
        <w:rPr/>
      </w:pPr>
      <w:r>
        <w:rPr/>
        <w:t>Respectfully submitted,</w:t>
      </w:r>
    </w:p>
    <w:p>
      <w:pPr>
        <w:pStyle w:val="Normal"/>
        <w:ind w:firstLine="5040" w:end="0"/>
        <w:rPr/>
      </w:pPr>
      <w:r>
        <w:rPr/>
      </w:r>
    </w:p>
    <w:p>
      <w:pPr>
        <w:pStyle w:val="Normal"/>
        <w:ind w:firstLine="5040" w:end="0"/>
        <w:rPr/>
      </w:pPr>
      <w:r>
        <w:rPr/>
      </w:r>
    </w:p>
    <w:p>
      <w:pPr>
        <w:pStyle w:val="Normal"/>
        <w:ind w:firstLine="5040" w:end="0"/>
        <w:rPr/>
      </w:pPr>
      <w:r>
        <w:rPr/>
      </w:r>
    </w:p>
    <w:p>
      <w:pPr>
        <w:pStyle w:val="Normal"/>
        <w:ind w:firstLine="5040" w:end="0"/>
        <w:rPr/>
      </w:pPr>
      <w:r>
        <w:rPr/>
      </w:r>
    </w:p>
    <w:p>
      <w:pPr>
        <w:pStyle w:val="Normal"/>
        <w:ind w:firstLine="5040" w:end="0"/>
        <w:rPr/>
      </w:pPr>
      <w:r>
        <w:rPr/>
        <w:t>_______________________________</w:t>
      </w:r>
    </w:p>
    <w:p>
      <w:pPr>
        <w:pStyle w:val="Normal"/>
        <w:ind w:firstLine="1440" w:start="3600" w:end="0"/>
        <w:rPr/>
      </w:pPr>
      <w:r>
        <w:rPr/>
        <w:t>Daniel W. Douglass</w:t>
      </w:r>
    </w:p>
    <w:p>
      <w:pPr>
        <w:pStyle w:val="Normal"/>
        <w:ind w:firstLine="1440" w:start="3600" w:end="0"/>
        <w:rPr/>
      </w:pPr>
      <w:r>
        <w:rPr/>
      </w:r>
    </w:p>
    <w:p>
      <w:pPr>
        <w:pStyle w:val="Normal"/>
        <w:ind w:firstLine="1440" w:start="3600" w:end="0"/>
        <w:rPr/>
      </w:pPr>
      <w:r>
        <w:rPr/>
        <w:t>Law Offices of Daniel W. Douglass</w:t>
      </w:r>
    </w:p>
    <w:p>
      <w:pPr>
        <w:pStyle w:val="Normal"/>
        <w:ind w:firstLine="1440" w:start="3600" w:end="0"/>
        <w:rPr/>
      </w:pPr>
      <w:r>
        <w:rPr/>
        <w:t>5959 Topanga Canyon Blvd.  Suite 244</w:t>
      </w:r>
    </w:p>
    <w:p>
      <w:pPr>
        <w:pStyle w:val="Normal"/>
        <w:ind w:firstLine="1440" w:start="3600" w:end="0"/>
        <w:rPr/>
      </w:pPr>
      <w:r>
        <w:rPr/>
        <w:t>Woodland Hills, CA 91367</w:t>
      </w:r>
    </w:p>
    <w:p>
      <w:pPr>
        <w:pStyle w:val="Normal"/>
        <w:ind w:firstLine="1440" w:start="3600" w:end="0"/>
        <w:rPr/>
      </w:pPr>
      <w:r>
        <w:rPr/>
        <w:t xml:space="preserve">Telephone </w:t>
        <w:tab/>
        <w:t>(818) 596-2201</w:t>
      </w:r>
    </w:p>
    <w:p>
      <w:pPr>
        <w:pStyle w:val="Normal"/>
        <w:ind w:firstLine="5040" w:end="0"/>
        <w:rPr/>
      </w:pPr>
      <w:r>
        <w:rPr/>
        <w:t xml:space="preserve">Facsimile </w:t>
        <w:tab/>
        <w:t>(818) 346-6502</w:t>
      </w:r>
    </w:p>
    <w:p>
      <w:pPr>
        <w:pStyle w:val="Normal"/>
        <w:ind w:firstLine="5040" w:end="0"/>
        <w:rPr/>
      </w:pPr>
      <w:r>
        <w:rPr/>
      </w:r>
    </w:p>
    <w:p>
      <w:pPr>
        <w:pStyle w:val="Normal"/>
        <w:ind w:firstLine="5040" w:end="0"/>
        <w:rPr/>
      </w:pPr>
      <w:r>
        <w:rPr/>
        <w:t>Attorneys for the</w:t>
      </w:r>
    </w:p>
    <w:p>
      <w:pPr>
        <w:pStyle w:val="Normal"/>
        <w:ind w:firstLine="5040" w:end="-468"/>
        <w:rPr/>
      </w:pPr>
      <w:r>
        <w:rPr/>
        <w:t>WESTERN POWER TRADING FORUM</w:t>
      </w:r>
    </w:p>
    <w:p>
      <w:pPr>
        <w:pStyle w:val="Normal"/>
        <w:rPr/>
      </w:pPr>
      <w:r>
        <w:rPr/>
      </w:r>
    </w:p>
    <w:p>
      <w:pPr>
        <w:pStyle w:val="Normal"/>
        <w:rPr/>
      </w:pPr>
      <w:r>
        <w:rPr/>
      </w:r>
    </w:p>
    <w:p>
      <w:pPr>
        <w:pStyle w:val="Normal"/>
        <w:rPr/>
      </w:pPr>
      <w:r>
        <w:rPr/>
      </w:r>
    </w:p>
    <w:p>
      <w:pPr>
        <w:pStyle w:val="Normal"/>
        <w:rPr/>
      </w:pPr>
      <w:r>
        <w:rPr/>
        <w:t xml:space="preserve">November 9, 2001 </w:t>
      </w:r>
      <w:r>
        <w:br w:type="page"/>
      </w:r>
    </w:p>
    <w:p>
      <w:pPr>
        <w:pStyle w:val="Normal"/>
        <w:rPr/>
      </w:pPr>
      <w:r>
        <w:rPr/>
      </w:r>
    </w:p>
    <w:p>
      <w:pPr>
        <w:pStyle w:val="DoubleSpacing"/>
        <w:jc w:val="center"/>
        <w:rPr>
          <w:rFonts w:ascii="Times New Roman" w:hAnsi="Times New Roman" w:cs="Times New Roman"/>
        </w:rPr>
      </w:pPr>
      <w:r>
        <w:rPr>
          <w:rFonts w:cs="Times New Roman" w:ascii="Times New Roman" w:hAnsi="Times New Roman"/>
          <w:b/>
        </w:rPr>
        <w:t>CERTIFICATE OF SERVICE</w:t>
      </w:r>
    </w:p>
    <w:p>
      <w:pPr>
        <w:pStyle w:val="SingleSpacing"/>
        <w:ind w:firstLine="720" w:end="0"/>
        <w:jc w:val="both"/>
        <w:rPr>
          <w:rFonts w:ascii="Times New Roman" w:hAnsi="Times New Roman" w:cs="Times New Roman"/>
        </w:rPr>
      </w:pPr>
      <w:r>
        <w:rPr>
          <w:rFonts w:cs="Times New Roman" w:ascii="Times New Roman" w:hAnsi="Times New Roman"/>
        </w:rPr>
      </w:r>
    </w:p>
    <w:p>
      <w:pPr>
        <w:pStyle w:val="SingleSpacing"/>
        <w:spacing w:lineRule="auto" w:line="360"/>
        <w:ind w:firstLine="720" w:end="0"/>
        <w:jc w:val="both"/>
        <w:rPr/>
      </w:pPr>
      <w:r>
        <w:rPr>
          <w:rFonts w:cs="Times New Roman" w:ascii="Times New Roman" w:hAnsi="Times New Roman"/>
        </w:rPr>
        <w:t>I hereby certify that I have this day served the foregoing document upon the following persons designated on the official service list compiled by the Secretary in Docket No. EL01-68-000</w:t>
      </w:r>
      <w:r>
        <w:rPr>
          <w:rFonts w:cs="Times New Roman" w:ascii="Times New Roman" w:hAnsi="Times New Roman"/>
          <w:b/>
        </w:rPr>
        <w:t xml:space="preserve"> </w:t>
      </w:r>
      <w:r>
        <w:rPr>
          <w:rFonts w:cs="Times New Roman" w:ascii="Times New Roman" w:hAnsi="Times New Roman"/>
        </w:rPr>
        <w:t>in accordance with the requirements of Rule 2010 of the Commission's Rules of Practice and Procedure, 18 C.F.R. §385.2010 (1997):</w:t>
      </w:r>
    </w:p>
    <w:p>
      <w:pPr>
        <w:pStyle w:val="DoubleSpacing"/>
        <w:rPr/>
      </w:pPr>
      <w:r>
        <w:rPr>
          <w:rFonts w:cs="Times New Roman" w:ascii="Times New Roman" w:hAnsi="Times New Roman"/>
        </w:rPr>
        <w:tab/>
        <w:t>Dated at Woodland Hills, California on this 9</w:t>
      </w:r>
      <w:r>
        <w:rPr>
          <w:rFonts w:cs="Times New Roman" w:ascii="Times New Roman" w:hAnsi="Times New Roman"/>
          <w:vertAlign w:val="superscript"/>
        </w:rPr>
        <w:t>th</w:t>
      </w:r>
      <w:r>
        <w:rPr>
          <w:rFonts w:cs="Times New Roman" w:ascii="Times New Roman" w:hAnsi="Times New Roman"/>
        </w:rPr>
        <w:t xml:space="preserve"> day of November, 2001.</w:t>
      </w:r>
    </w:p>
    <w:p>
      <w:pPr>
        <w:pStyle w:val="DoubleSpacing"/>
        <w:rPr>
          <w:rFonts w:ascii="Times New Roman" w:hAnsi="Times New Roman" w:cs="Times New Roman"/>
        </w:rPr>
      </w:pPr>
      <w:r>
        <w:rPr>
          <w:rFonts w:cs="Times New Roman" w:ascii="Times New Roman" w:hAnsi="Times New Roman"/>
        </w:rPr>
      </w:r>
    </w:p>
    <w:p>
      <w:pPr>
        <w:pStyle w:val="DoubleSpacing"/>
        <w:rPr>
          <w:rFonts w:ascii="Times New Roman" w:hAnsi="Times New Roman" w:cs="Times New Roman"/>
        </w:rPr>
      </w:pPr>
      <w:r>
        <w:rPr>
          <w:rFonts w:cs="Times New Roman" w:ascii="Times New Roman" w:hAnsi="Times New Roman"/>
        </w:rPr>
        <w:tab/>
        <w:tab/>
        <w:tab/>
        <w:tab/>
        <w:tab/>
        <w:tab/>
        <w:tab/>
        <w:tab/>
        <w:tab/>
        <w:tab/>
        <w:tab/>
        <w:tab/>
        <w:tab/>
        <w:tab/>
        <w:tab/>
        <w:tab/>
        <w:tab/>
        <w:tab/>
        <w:t>_________________________________</w:t>
      </w:r>
    </w:p>
    <w:p>
      <w:pPr>
        <w:pStyle w:val="Normal"/>
        <w:widowControl/>
        <w:ind w:firstLine="720" w:end="0"/>
        <w:rPr/>
      </w:pPr>
      <w:r>
        <w:rPr/>
        <w:tab/>
        <w:tab/>
        <w:tab/>
        <w:tab/>
        <w:tab/>
        <w:t>Michelle Dangott</w:t>
      </w:r>
    </w:p>
    <w:p>
      <w:pPr>
        <w:pStyle w:val="Normal"/>
        <w:widowControl/>
        <w:rPr/>
      </w:pPr>
      <w:r>
        <w:rPr/>
      </w:r>
    </w:p>
    <w:p>
      <w:pPr>
        <w:sectPr>
          <w:headerReference w:type="default" r:id="rId2"/>
          <w:footerReference w:type="default" r:id="rId3"/>
          <w:footnotePr>
            <w:numFmt w:val="decimal"/>
          </w:footnotePr>
          <w:type w:val="nextPage"/>
          <w:pgSz w:w="12240" w:h="15840"/>
          <w:pgMar w:left="1584" w:right="1584" w:gutter="0" w:header="1440" w:top="1584" w:footer="720" w:bottom="1584"/>
          <w:pgNumType w:fmt="decimal"/>
          <w:formProt w:val="false"/>
          <w:textDirection w:val="lrTb"/>
          <w:docGrid w:type="default" w:linePitch="360" w:charSpace="0"/>
        </w:sectPr>
      </w:pPr>
    </w:p>
    <w:p>
      <w:pPr>
        <w:pStyle w:val="Normal"/>
        <w:widowControl/>
        <w:ind w:firstLine="720" w:end="0"/>
        <w:rPr/>
      </w:pPr>
      <w:r>
        <w:rPr/>
      </w:r>
    </w:p>
    <w:p>
      <w:pPr>
        <w:pStyle w:val="Normal"/>
        <w:widowControl/>
        <w:rPr/>
      </w:pPr>
      <w:r>
        <w:rPr/>
      </w:r>
    </w:p>
    <w:p>
      <w:pPr>
        <w:pStyle w:val="Normal"/>
        <w:widowControl/>
        <w:tabs>
          <w:tab w:val="clear" w:pos="720"/>
          <w:tab w:val="center" w:pos="4680" w:leader="none"/>
        </w:tabs>
        <w:rPr/>
      </w:pPr>
      <w:r>
        <w:rPr/>
      </w:r>
    </w:p>
    <w:p>
      <w:pPr>
        <w:pStyle w:val="Normal"/>
        <w:widowControl/>
        <w:rPr/>
      </w:pPr>
      <w:r>
        <w:rPr/>
      </w:r>
    </w:p>
    <w:sectPr>
      <w:footnotePr>
        <w:numFmt w:val="decimal"/>
      </w:footnotePr>
      <w:type w:val="continuous"/>
      <w:pgSz w:w="12240" w:h="15840"/>
      <w:pgMar w:left="1440" w:right="1440" w:gutter="0" w:header="1440" w:top="1584" w:footer="720" w:bottom="158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apfHumnst BT">
    <w:altName w:val="Times New Roman"/>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23.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firstLine="720" w:end="0"/>
        <w:jc w:val="both"/>
        <w:rPr/>
      </w:pPr>
      <w:r>
        <w:rPr>
          <w:rStyle w:val="FootnoteCharacters"/>
        </w:rPr>
        <w:footnoteRef/>
      </w:r>
      <w:r>
        <w:rPr>
          <w:sz w:val="18"/>
        </w:rPr>
        <w:t xml:space="preserve"> </w:t>
      </w:r>
      <w:r>
        <w:rPr>
          <w:i/>
          <w:sz w:val="18"/>
        </w:rPr>
        <w:t>San Diego Gas &amp; Electric Co. v. Sellers of Energy and Ancillary Services into Markets Operated by the California Independent System Operator et al.</w:t>
      </w:r>
      <w:r>
        <w:rPr>
          <w:sz w:val="18"/>
        </w:rPr>
        <w:t>, 95 FERC ¶ 61,115 (2001) (April 26</w:t>
      </w:r>
      <w:r>
        <w:rPr>
          <w:sz w:val="18"/>
          <w:vertAlign w:val="superscript"/>
        </w:rPr>
        <w:t>th</w:t>
      </w:r>
      <w:r>
        <w:rPr>
          <w:sz w:val="18"/>
        </w:rPr>
        <w:t xml:space="preserve"> Order).</w:t>
      </w:r>
    </w:p>
  </w:footnote>
  <w:footnote w:id="3">
    <w:p>
      <w:pPr>
        <w:pStyle w:val="FootnoteText"/>
        <w:ind w:firstLine="720" w:end="0"/>
        <w:jc w:val="both"/>
        <w:rPr/>
      </w:pPr>
      <w:r>
        <w:rPr>
          <w:rStyle w:val="FootnoteCharacters"/>
        </w:rPr>
        <w:footnoteRef/>
      </w:r>
      <w:r>
        <w:rPr>
          <w:sz w:val="18"/>
        </w:rPr>
        <w:t xml:space="preserve"> </w:t>
      </w:r>
      <w:r>
        <w:rPr>
          <w:i/>
          <w:sz w:val="18"/>
        </w:rPr>
        <w:t>San Diego Gas &amp; Electric Co. v. Sellers of Energy and Ancillary Services into Markets Operated by the California Independent System Operator et al.</w:t>
      </w:r>
      <w:r>
        <w:rPr>
          <w:sz w:val="18"/>
        </w:rPr>
        <w:t>, 93 FERC ¶ 61,294 (2000) (December 15</w:t>
      </w:r>
      <w:r>
        <w:rPr>
          <w:sz w:val="18"/>
          <w:vertAlign w:val="superscript"/>
        </w:rPr>
        <w:t>th</w:t>
      </w:r>
      <w:r>
        <w:rPr>
          <w:sz w:val="18"/>
        </w:rPr>
        <w:t xml:space="preserve"> Order).</w:t>
      </w:r>
    </w:p>
  </w:footnote>
  <w:footnote w:id="4">
    <w:p>
      <w:pPr>
        <w:pStyle w:val="FootnoteText"/>
        <w:jc w:val="both"/>
        <w:rPr/>
      </w:pPr>
      <w:r>
        <w:rPr>
          <w:rStyle w:val="FootnoteCharacters"/>
        </w:rPr>
        <w:footnoteRef/>
      </w:r>
      <w:r>
        <w:rPr>
          <w:sz w:val="24"/>
          <w:vertAlign w:val="superscript"/>
        </w:rPr>
        <w:t xml:space="preserve"> </w:t>
      </w:r>
      <w:r>
        <w:rPr/>
        <w:t>Supplemental Comments Of The Western Power Trading Forum Concerning The Commission’s June 19 Order, dated August 20,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26"/>
      </w:rPr>
    </w:pPr>
    <w:r>
      <w:rPr>
        <w:sz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w:lvlJc w:val="start"/>
      <w:pPr>
        <w:tabs>
          <w:tab w:val="num" w:pos="1080"/>
        </w:tabs>
        <w:ind w:start="1080" w:hanging="360"/>
      </w:pPr>
      <w:rPr>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2z0">
    <w:name w:val="WW8Num2z0"/>
    <w:qFormat/>
    <w:rPr>
      <w:u w:val="none"/>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Emphasis">
    <w:name w:val="Emphasis"/>
    <w:basedOn w:val="DefaultParagraphFont"/>
    <w:qFormat/>
    <w:rPr>
      <w:i/>
      <w:iCs/>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ZapfHumnst BT;Times New Roman" w:hAnsi="ZapfHumnst BT;Times New Roman" w:cs="ZapfHumnst BT;Times New Roman"/>
      <w:sz w:val="28"/>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Indent">
    <w:name w:val="Body Text Indent"/>
    <w:basedOn w:val="Normal"/>
    <w:pPr>
      <w:widowControl/>
      <w:ind w:firstLine="720" w:start="0" w:end="0"/>
      <w:jc w:val="both"/>
    </w:pPr>
    <w:rPr/>
  </w:style>
  <w:style w:type="paragraph" w:styleId="QA">
    <w:name w:val="Q&amp;A"/>
    <w:basedOn w:val="Normal"/>
    <w:qFormat/>
    <w:pPr>
      <w:tabs>
        <w:tab w:val="clear" w:pos="720"/>
        <w:tab w:val="left" w:pos="1080" w:leader="none"/>
      </w:tabs>
      <w:overflowPunct w:val="false"/>
      <w:autoSpaceDE w:val="false"/>
      <w:spacing w:lineRule="auto" w:line="360"/>
      <w:ind w:hanging="360" w:start="720" w:end="0"/>
      <w:textAlignment w:val="baseline"/>
    </w:pPr>
    <w:rPr>
      <w:spacing w:val="-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ubleSpacing">
    <w:name w:val="Double Spacing"/>
    <w:basedOn w:val="Normal"/>
    <w:qFormat/>
    <w:pPr>
      <w:overflowPunct w:val="false"/>
      <w:autoSpaceDE w:val="false"/>
      <w:spacing w:lineRule="exact" w:line="480"/>
      <w:textAlignment w:val="baseline"/>
    </w:pPr>
    <w:rPr>
      <w:rFonts w:ascii="Courier New" w:hAnsi="Courier New" w:cs="Courier New"/>
    </w:rPr>
  </w:style>
  <w:style w:type="paragraph" w:styleId="SingleSpacing">
    <w:name w:val="Single Spacing"/>
    <w:basedOn w:val="Normal"/>
    <w:qFormat/>
    <w:pPr>
      <w:overflowPunct w:val="false"/>
      <w:autoSpaceDE w:val="false"/>
      <w:spacing w:lineRule="exact" w:line="240"/>
      <w:textAlignment w:val="baseline"/>
    </w:pPr>
    <w:rPr>
      <w:rFonts w:ascii="Courier New" w:hAnsi="Courier New" w:cs="Courier New"/>
    </w:rPr>
  </w:style>
  <w:style w:type="paragraph" w:styleId="BodyText2">
    <w:name w:val="Body Text 2"/>
    <w:basedOn w:val="Normal"/>
    <w:qFormat/>
    <w:pPr>
      <w:jc w:val="both"/>
    </w:pPr>
    <w:rPr/>
  </w:style>
  <w:style w:type="paragraph" w:styleId="BodyTextIndent3">
    <w:name w:val="Body Text Indent 3"/>
    <w:basedOn w:val="Normal"/>
    <w:qFormat/>
    <w:pPr>
      <w:widowControl/>
      <w:ind w:hanging="720" w:start="720" w:end="0"/>
    </w:pPr>
    <w:rPr>
      <w:rFonts w:ascii="Arial" w:hAnsi="Arial" w:cs="Arial"/>
      <w:b/>
    </w:rPr>
  </w:style>
  <w:style w:type="paragraph" w:styleId="BodyTextStyle">
    <w:name w:val="Body Text Style"/>
    <w:basedOn w:val="Normal"/>
    <w:qFormat/>
    <w:pPr>
      <w:widowControl/>
      <w:spacing w:lineRule="auto" w:line="480"/>
      <w:ind w:firstLine="720" w:start="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2001-11-09T16:56:00Z</dcterms:created>
  <dc:creator>Marcie Otondo</dc:creator>
  <dc:description/>
  <dc:language>en-CA</dc:language>
  <cp:lastModifiedBy>Daniel W. Douglass</cp:lastModifiedBy>
  <cp:lastPrinted>2001-11-09T12:20:00Z</cp:lastPrinted>
  <dcterms:modified xsi:type="dcterms:W3CDTF">2001-11-09T17:49:00Z</dcterms:modified>
  <cp:revision>6</cp:revision>
  <dc:subject/>
  <dc:title>UNITED STATES OF AMERICA</dc:title>
</cp:coreProperties>
</file>