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WHAT WE WANT</w:t>
      </w:r>
    </w:p>
    <w:p>
      <w:pPr>
        <w:pStyle w:val="Normal"/>
        <w:rPr/>
      </w:pPr>
      <w:r>
        <w:rPr/>
      </w:r>
    </w:p>
    <w:p>
      <w:pPr>
        <w:pStyle w:val="Normal"/>
        <w:numPr>
          <w:ilvl w:val="0"/>
          <w:numId w:val="2"/>
        </w:numPr>
        <w:rPr/>
      </w:pPr>
      <w:r>
        <w:rPr/>
        <w:t>Service Options</w:t>
      </w:r>
    </w:p>
    <w:p>
      <w:pPr>
        <w:pStyle w:val="Normal"/>
        <w:numPr>
          <w:ilvl w:val="0"/>
          <w:numId w:val="5"/>
        </w:numPr>
        <w:rPr/>
      </w:pPr>
      <w:r>
        <w:rPr/>
        <w:t>Menu</w:t>
      </w:r>
    </w:p>
    <w:p>
      <w:pPr>
        <w:pStyle w:val="Normal"/>
        <w:numPr>
          <w:ilvl w:val="1"/>
          <w:numId w:val="5"/>
        </w:numPr>
        <w:rPr/>
      </w:pPr>
      <w:r>
        <w:rPr/>
        <w:t>Defined and flexibility for other interconnection studies</w:t>
      </w:r>
    </w:p>
    <w:p>
      <w:pPr>
        <w:pStyle w:val="Normal"/>
        <w:numPr>
          <w:ilvl w:val="0"/>
          <w:numId w:val="5"/>
        </w:numPr>
        <w:rPr/>
      </w:pPr>
      <w:r>
        <w:rPr/>
        <w:t>ANOPR best practices</w:t>
      </w:r>
    </w:p>
    <w:p>
      <w:pPr>
        <w:pStyle w:val="Normal"/>
        <w:numPr>
          <w:ilvl w:val="0"/>
          <w:numId w:val="5"/>
        </w:numPr>
        <w:rPr/>
      </w:pPr>
      <w:r>
        <w:rPr/>
        <w:t>On time quickly</w:t>
      </w:r>
    </w:p>
    <w:p>
      <w:pPr>
        <w:pStyle w:val="Normal"/>
        <w:numPr>
          <w:ilvl w:val="0"/>
          <w:numId w:val="5"/>
        </w:numPr>
        <w:rPr/>
      </w:pPr>
      <w:r>
        <w:rPr/>
        <w:t xml:space="preserve">ERCOT </w:t>
      </w:r>
      <w:r>
        <w:rPr>
          <w:i/>
          <w:iCs/>
        </w:rPr>
        <w:t>plus</w:t>
      </w:r>
      <w:r>
        <w:rPr/>
        <w:t xml:space="preserve"> best practices (unless inconsistent with best practices)</w:t>
      </w:r>
    </w:p>
    <w:p>
      <w:pPr>
        <w:pStyle w:val="Normal"/>
        <w:ind w:start="1080" w:end="0"/>
        <w:rPr/>
      </w:pPr>
      <w:r>
        <w:rPr/>
      </w:r>
    </w:p>
    <w:p>
      <w:pPr>
        <w:pStyle w:val="Normal"/>
        <w:numPr>
          <w:ilvl w:val="0"/>
          <w:numId w:val="2"/>
        </w:numPr>
        <w:rPr/>
      </w:pPr>
      <w:r>
        <w:rPr/>
        <w:t>Simple Interconnection Service</w:t>
      </w:r>
    </w:p>
    <w:p>
      <w:pPr>
        <w:pStyle w:val="Normal"/>
        <w:numPr>
          <w:ilvl w:val="1"/>
          <w:numId w:val="2"/>
        </w:numPr>
        <w:rPr/>
      </w:pPr>
      <w:r>
        <w:rPr/>
        <w:t>The study would identify the direct interconnection facilities required</w:t>
      </w:r>
    </w:p>
    <w:p>
      <w:pPr>
        <w:pStyle w:val="Normal"/>
        <w:numPr>
          <w:ilvl w:val="1"/>
          <w:numId w:val="2"/>
        </w:numPr>
        <w:rPr/>
      </w:pPr>
      <w:r>
        <w:rPr/>
        <w:t>Area network upgrades necessary to address short circuit and topology changes associated with interconnection, with/without output</w:t>
      </w:r>
    </w:p>
    <w:p>
      <w:pPr>
        <w:pStyle w:val="Normal"/>
        <w:numPr>
          <w:ilvl w:val="1"/>
          <w:numId w:val="2"/>
        </w:numPr>
        <w:rPr/>
      </w:pPr>
      <w:r>
        <w:rPr/>
        <w:t>Interconnect and operate up to established acceptable limits</w:t>
      </w:r>
    </w:p>
    <w:p>
      <w:pPr>
        <w:pStyle w:val="Normal"/>
        <w:numPr>
          <w:ilvl w:val="1"/>
          <w:numId w:val="2"/>
        </w:numPr>
        <w:rPr/>
      </w:pPr>
      <w:r>
        <w:rPr/>
        <w:t>No stability considerations</w:t>
      </w:r>
    </w:p>
    <w:p>
      <w:pPr>
        <w:pStyle w:val="Normal"/>
        <w:ind w:start="1080" w:end="0"/>
        <w:rPr/>
      </w:pPr>
      <w:r>
        <w:rPr/>
      </w:r>
    </w:p>
    <w:p>
      <w:pPr>
        <w:pStyle w:val="Normal"/>
        <w:numPr>
          <w:ilvl w:val="0"/>
          <w:numId w:val="2"/>
        </w:numPr>
        <w:rPr/>
      </w:pPr>
      <w:r>
        <w:rPr/>
        <w:t>ERCOT Does Address</w:t>
      </w:r>
    </w:p>
    <w:p>
      <w:pPr>
        <w:pStyle w:val="Normal"/>
        <w:numPr>
          <w:ilvl w:val="1"/>
          <w:numId w:val="2"/>
        </w:numPr>
        <w:rPr/>
      </w:pPr>
      <w:r>
        <w:rPr/>
        <w:t>Everything is network</w:t>
      </w:r>
    </w:p>
    <w:p>
      <w:pPr>
        <w:pStyle w:val="Normal"/>
        <w:ind w:start="1080" w:end="0"/>
        <w:rPr/>
      </w:pPr>
      <w:r>
        <w:rPr/>
      </w:r>
    </w:p>
    <w:p>
      <w:pPr>
        <w:pStyle w:val="Normal"/>
        <w:numPr>
          <w:ilvl w:val="0"/>
          <w:numId w:val="2"/>
        </w:numPr>
        <w:rPr/>
      </w:pPr>
      <w:r>
        <w:rPr/>
        <w:t>Network Resource</w:t>
      </w:r>
    </w:p>
    <w:p>
      <w:pPr>
        <w:pStyle w:val="Normal"/>
        <w:numPr>
          <w:ilvl w:val="1"/>
          <w:numId w:val="2"/>
        </w:numPr>
        <w:rPr/>
      </w:pPr>
      <w:r>
        <w:rPr/>
        <w:t>Best practice</w:t>
      </w:r>
    </w:p>
    <w:p>
      <w:pPr>
        <w:pStyle w:val="Normal"/>
        <w:numPr>
          <w:ilvl w:val="0"/>
          <w:numId w:val="6"/>
        </w:numPr>
        <w:rPr/>
      </w:pPr>
      <w:r>
        <w:rPr/>
        <w:t>Treat as a network resource</w:t>
      </w:r>
    </w:p>
    <w:p>
      <w:pPr>
        <w:pStyle w:val="Normal"/>
        <w:numPr>
          <w:ilvl w:val="0"/>
          <w:numId w:val="6"/>
        </w:numPr>
        <w:rPr/>
      </w:pPr>
      <w:r>
        <w:rPr/>
        <w:t>Displacement studies</w:t>
      </w:r>
    </w:p>
    <w:p>
      <w:pPr>
        <w:pStyle w:val="Normal"/>
        <w:numPr>
          <w:ilvl w:val="0"/>
          <w:numId w:val="6"/>
        </w:numPr>
        <w:rPr/>
      </w:pPr>
      <w:r>
        <w:rPr/>
        <w:t>Level playing field with utility generation</w:t>
      </w:r>
    </w:p>
    <w:p>
      <w:pPr>
        <w:pStyle w:val="Normal"/>
        <w:numPr>
          <w:ilvl w:val="0"/>
          <w:numId w:val="3"/>
        </w:numPr>
        <w:rPr/>
      </w:pPr>
      <w:r>
        <w:rPr/>
        <w:t>Rights to access across the system held by load plus point-to-point</w:t>
      </w:r>
    </w:p>
    <w:p>
      <w:pPr>
        <w:pStyle w:val="Normal"/>
        <w:numPr>
          <w:ilvl w:val="0"/>
          <w:numId w:val="3"/>
        </w:numPr>
        <w:rPr/>
      </w:pPr>
      <w:r>
        <w:rPr/>
        <w:t>All loads should have access to all generators on the system</w:t>
      </w:r>
    </w:p>
    <w:p>
      <w:pPr>
        <w:pStyle w:val="Normal"/>
        <w:numPr>
          <w:ilvl w:val="0"/>
          <w:numId w:val="3"/>
        </w:numPr>
        <w:rPr/>
      </w:pPr>
      <w:r>
        <w:rPr/>
        <w:t>Can deliver anywhere within the control area network or to control area boundaries</w:t>
      </w:r>
    </w:p>
    <w:p>
      <w:pPr>
        <w:pStyle w:val="Normal"/>
        <w:numPr>
          <w:ilvl w:val="0"/>
          <w:numId w:val="3"/>
        </w:numPr>
        <w:rPr/>
      </w:pPr>
      <w:r>
        <w:rPr/>
        <w:t>All network customers pay the same per MW price and should have same level of access for generation on system as any other network customer</w:t>
      </w:r>
    </w:p>
    <w:p>
      <w:pPr>
        <w:pStyle w:val="Normal"/>
        <w:rPr/>
      </w:pPr>
      <w:r>
        <w:rPr/>
      </w:r>
    </w:p>
    <w:p>
      <w:pPr>
        <w:pStyle w:val="Normal"/>
        <w:numPr>
          <w:ilvl w:val="0"/>
          <w:numId w:val="2"/>
        </w:numPr>
        <w:rPr/>
      </w:pPr>
      <w:r>
        <w:rPr/>
        <w:t>A network resource is “integrated” in the sense that it is deemed to be deliverable to all network load.</w:t>
      </w:r>
    </w:p>
    <w:p>
      <w:pPr>
        <w:pStyle w:val="Normal"/>
        <w:ind w:start="720" w:end="0"/>
        <w:rPr/>
      </w:pPr>
      <w:r>
        <w:rPr/>
        <w:t>System dispatch and load are indifferent to whether the resource is a newly interconnected generator or an existing resource.</w:t>
      </w:r>
    </w:p>
    <w:p>
      <w:pPr>
        <w:pStyle w:val="Normal"/>
        <w:rPr/>
      </w:pPr>
      <w:r>
        <w:rPr/>
      </w:r>
    </w:p>
    <w:p>
      <w:pPr>
        <w:pStyle w:val="Normal"/>
        <w:numPr>
          <w:ilvl w:val="0"/>
          <w:numId w:val="2"/>
        </w:numPr>
        <w:rPr/>
      </w:pPr>
      <w:r>
        <w:rPr/>
        <w:t>Associated Studies with Network Service</w:t>
      </w:r>
    </w:p>
    <w:p>
      <w:pPr>
        <w:pStyle w:val="Normal"/>
        <w:numPr>
          <w:ilvl w:val="0"/>
          <w:numId w:val="4"/>
        </w:numPr>
        <w:rPr/>
      </w:pPr>
      <w:r>
        <w:rPr/>
        <w:t>Studies will include the upgrades required to permit such integration/deliverability as a network resource.  This study is identical to the study that would be performed were a customer requesting network transmission service under the OATT.</w:t>
      </w:r>
    </w:p>
    <w:p>
      <w:pPr>
        <w:pStyle w:val="Normal"/>
        <w:ind w:start="1080" w:end="0"/>
        <w:rPr/>
      </w:pPr>
      <w:r>
        <w:rPr/>
      </w:r>
    </w:p>
    <w:p>
      <w:pPr>
        <w:pStyle w:val="Normal"/>
        <w:numPr>
          <w:ilvl w:val="0"/>
          <w:numId w:val="2"/>
        </w:numPr>
        <w:rPr/>
      </w:pPr>
      <w:r>
        <w:rPr/>
        <w:t>Optional Delivery Assessment Study</w:t>
      </w:r>
    </w:p>
    <w:p>
      <w:pPr>
        <w:pStyle w:val="Normal"/>
        <w:numPr>
          <w:ilvl w:val="0"/>
          <w:numId w:val="4"/>
        </w:numPr>
        <w:rPr/>
      </w:pPr>
      <w:r>
        <w:rPr/>
        <w:t xml:space="preserve">Is an elective study available to the interconnecting generators in addition to the other study options?  The assumptions may be chosen by the interconnecting generators based on its deliverability objectives and the risks it sees in getting its product to the market. </w:t>
      </w:r>
    </w:p>
    <w:p>
      <w:pPr>
        <w:pStyle w:val="Normal"/>
        <w:ind w:start="1440" w:end="0"/>
        <w:rPr/>
      </w:pPr>
      <w:r>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Generator Caucus</w:t>
    </w:r>
  </w:p>
  <w:p>
    <w:pPr>
      <w:pStyle w:val="Header"/>
      <w:jc w:val="end"/>
      <w:rPr/>
    </w:pPr>
    <w:r>
      <w:rPr/>
      <w:t>11/7/01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color w:val="000000"/>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440"/>
        </w:tabs>
        <w:ind w:start="1440" w:hanging="360"/>
      </w:pPr>
      <w:rPr>
        <w:rFonts w:ascii="Symbol" w:hAnsi="Symbol" w:cs="Symbol" w:hint="default"/>
        <w:color w:val="000000"/>
      </w:rPr>
    </w:lvl>
  </w:abstractNum>
  <w:abstractNum w:abstractNumId="4">
    <w:lvl w:ilvl="0">
      <w:start w:val="1"/>
      <w:numFmt w:val="bullet"/>
      <w:lvlText w:val=""/>
      <w:lvlJc w:val="start"/>
      <w:pPr>
        <w:tabs>
          <w:tab w:val="num" w:pos="1440"/>
        </w:tabs>
        <w:ind w:start="1440" w:hanging="360"/>
      </w:pPr>
      <w:rPr>
        <w:rFonts w:ascii="Symbol" w:hAnsi="Symbol" w:cs="Symbol" w:hint="default"/>
        <w:color w:val="000000"/>
      </w:rPr>
    </w:lvl>
  </w:abstractNum>
  <w:abstractNum w:abstractNumId="5">
    <w:lvl w:ilvl="0">
      <w:start w:val="1"/>
      <w:numFmt w:val="bullet"/>
      <w:lvlText w:val=""/>
      <w:lvlJc w:val="start"/>
      <w:pPr>
        <w:tabs>
          <w:tab w:val="num" w:pos="1440"/>
        </w:tabs>
        <w:ind w:start="1440" w:hanging="360"/>
      </w:pPr>
      <w:rPr>
        <w:rFonts w:ascii="Symbol" w:hAnsi="Symbol" w:cs="Symbol" w:hint="default"/>
        <w:color w:val="000000"/>
      </w:rPr>
    </w:lvl>
    <w:lvl w:ilvl="1">
      <w:start w:val="1"/>
      <w:numFmt w:val="bullet"/>
      <w:lvlText w:val="o"/>
      <w:lvlJc w:val="start"/>
      <w:pPr>
        <w:tabs>
          <w:tab w:val="num" w:pos="2160"/>
        </w:tabs>
        <w:ind w:start="2160" w:hanging="360"/>
      </w:pPr>
      <w:rPr>
        <w:rFonts w:ascii="Courier New" w:hAnsi="Courier New" w:cs="Courier New" w:hint="default"/>
      </w:rPr>
    </w:lvl>
    <w:lvl w:ilvl="2">
      <w:start w:val="1"/>
      <w:numFmt w:val="bullet"/>
      <w:lvlText w:val=""/>
      <w:lvlJc w:val="start"/>
      <w:pPr>
        <w:tabs>
          <w:tab w:val="num" w:pos="2880"/>
        </w:tabs>
        <w:ind w:start="2880" w:hanging="360"/>
      </w:pPr>
      <w:rPr>
        <w:rFonts w:ascii="Symbol" w:hAnsi="Symbol" w:cs="Symbol" w:hint="default"/>
        <w:color w:val="000000"/>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6">
    <w:lvl w:ilvl="0">
      <w:start w:val="1"/>
      <w:numFmt w:val="bullet"/>
      <w:lvlText w:val="o"/>
      <w:lvlJc w:val="start"/>
      <w:pPr>
        <w:tabs>
          <w:tab w:val="num" w:pos="2520"/>
        </w:tabs>
        <w:ind w:start="2520" w:hanging="360"/>
      </w:pPr>
      <w:rPr>
        <w:rFonts w:ascii="Courier New" w:hAnsi="Courier New" w:cs="Courier New"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WW8Num1z1">
    <w:name w:val="WW8Num1z1"/>
    <w:qFormat/>
    <w:rPr>
      <w:rFonts w:ascii="Symbol" w:hAnsi="Symbol" w:cs="Symbol"/>
      <w:color w:val="000000"/>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color w:val="00000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6z5">
    <w:name w:val="WW8Num6z5"/>
    <w:qFormat/>
    <w:rPr>
      <w:rFonts w:ascii="Wingdings" w:hAnsi="Wingdings" w:cs="Wingdings"/>
    </w:rPr>
  </w:style>
  <w:style w:type="character" w:styleId="WW8Num7z0">
    <w:name w:val="WW8Num7z0"/>
    <w:qFormat/>
    <w:rPr>
      <w:rFonts w:ascii="Courier New" w:hAnsi="Courier New" w:cs="Courier New"/>
    </w:rPr>
  </w:style>
  <w:style w:type="character" w:styleId="WW8Num7z1">
    <w:name w:val="WW8Num7z1"/>
    <w:qFormat/>
    <w:rPr>
      <w:rFonts w:ascii="Symbol" w:hAnsi="Symbol" w:cs="Symbol"/>
      <w:color w:val="000000"/>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2001-11-07T17:30:00Z</dcterms:created>
  <dc:creator>Valued Gateway Client</dc:creator>
  <dc:description/>
  <dc:language>en-CA</dc:language>
  <cp:lastModifiedBy>Valued Gateway Client</cp:lastModifiedBy>
  <dcterms:modified xsi:type="dcterms:W3CDTF">2001-11-07T19:00:00Z</dcterms:modified>
  <cp:revision>1</cp:revision>
  <dc:subject/>
  <dc:title>WHAT WE WANT</dc:title>
</cp:coreProperties>
</file>