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media/image1.wmf" ContentType="image/x-wmf"/>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_rels/header6.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zHeader"/>
        <w:rPr/>
      </w:pPr>
      <w:r>
        <w:rPr/>
        <w:t>BEFORE THE PUBLIC UTILITIES COMMISSION OF THE</w:t>
        <w:br/>
        <w:t>STATE OF CALIFORNIA</w:t>
      </w:r>
    </w:p>
    <w:tbl>
      <w:tblPr>
        <w:tblW w:w="8856" w:type="dxa"/>
        <w:jc w:val="start"/>
        <w:tblInd w:w="0" w:type="dxa"/>
        <w:tblLayout w:type="fixed"/>
        <w:tblCellMar>
          <w:top w:w="0" w:type="dxa"/>
          <w:start w:w="108" w:type="dxa"/>
          <w:bottom w:w="0" w:type="dxa"/>
          <w:end w:w="108" w:type="dxa"/>
        </w:tblCellMar>
      </w:tblPr>
      <w:tblGrid>
        <w:gridCol w:w="4878"/>
        <w:gridCol w:w="3978"/>
      </w:tblGrid>
      <w:tr>
        <w:trPr/>
        <w:tc>
          <w:tcPr>
            <w:tcW w:w="4878" w:type="dxa"/>
            <w:tcBorders>
              <w:top w:val="single" w:sz="4" w:space="0" w:color="000000"/>
              <w:start w:val="single" w:sz="4" w:space="0" w:color="000000"/>
              <w:bottom w:val="single" w:sz="4" w:space="0" w:color="000000"/>
              <w:end w:val="single" w:sz="4" w:space="0" w:color="000000"/>
            </w:tcBorders>
          </w:tcPr>
          <w:p>
            <w:pPr>
              <w:pStyle w:val="Normal"/>
              <w:rPr/>
            </w:pPr>
            <w:r>
              <w:rPr/>
              <w:t>Application of PG&amp;E for Verification, etc.</w:t>
            </w:r>
          </w:p>
        </w:tc>
        <w:tc>
          <w:tcPr>
            <w:tcW w:w="3978" w:type="dxa"/>
            <w:tcBorders>
              <w:top w:val="single" w:sz="4" w:space="0" w:color="000000"/>
              <w:start w:val="single" w:sz="4" w:space="0" w:color="000000"/>
              <w:bottom w:val="single" w:sz="4" w:space="0" w:color="000000"/>
              <w:end w:val="single" w:sz="4" w:space="0" w:color="000000"/>
            </w:tcBorders>
          </w:tcPr>
          <w:p>
            <w:pPr>
              <w:pStyle w:val="Normal"/>
              <w:rPr/>
            </w:pPr>
            <w:r>
              <w:rPr/>
              <w:t>A.98-07-003</w:t>
              <w:br/>
              <w:t>(Suspend Payment of PX Credits)</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rPr/>
            </w:pPr>
            <w:r>
              <w:rPr/>
              <w:t>Application of PG&amp;E for Verification, etc.</w:t>
            </w:r>
          </w:p>
        </w:tc>
        <w:tc>
          <w:tcPr>
            <w:tcW w:w="3978" w:type="dxa"/>
            <w:tcBorders>
              <w:top w:val="single" w:sz="4" w:space="0" w:color="000000"/>
              <w:start w:val="single" w:sz="4" w:space="0" w:color="000000"/>
              <w:bottom w:val="single" w:sz="4" w:space="0" w:color="000000"/>
              <w:end w:val="single" w:sz="4" w:space="0" w:color="000000"/>
            </w:tcBorders>
          </w:tcPr>
          <w:p>
            <w:pPr>
              <w:pStyle w:val="Normal"/>
              <w:rPr/>
            </w:pPr>
            <w:r>
              <w:rPr/>
              <w:t>A.98-07-003</w:t>
              <w:br/>
              <w:t>(Implementation of Suspension of Direct Access)</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rPr/>
            </w:pPr>
            <w:r>
              <w:rPr/>
              <w:t>Application of PG&amp;E for Verification, etc.</w:t>
            </w:r>
          </w:p>
        </w:tc>
        <w:tc>
          <w:tcPr>
            <w:tcW w:w="3978" w:type="dxa"/>
            <w:tcBorders>
              <w:top w:val="single" w:sz="4" w:space="0" w:color="000000"/>
              <w:start w:val="single" w:sz="4" w:space="0" w:color="000000"/>
              <w:bottom w:val="single" w:sz="4" w:space="0" w:color="000000"/>
              <w:end w:val="single" w:sz="4" w:space="0" w:color="000000"/>
            </w:tcBorders>
          </w:tcPr>
          <w:p>
            <w:pPr>
              <w:pStyle w:val="Normal"/>
              <w:rPr/>
            </w:pPr>
            <w:r>
              <w:rPr/>
              <w:t>A.98-07-003</w:t>
              <w:br/>
              <w:t>(Suspend Audit of PX Credits)</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rPr/>
            </w:pPr>
            <w:r>
              <w:rPr/>
              <w:t>Application of PG&amp;E for Verification, etc.</w:t>
            </w:r>
          </w:p>
        </w:tc>
        <w:tc>
          <w:tcPr>
            <w:tcW w:w="3978" w:type="dxa"/>
            <w:tcBorders>
              <w:top w:val="single" w:sz="4" w:space="0" w:color="000000"/>
              <w:start w:val="single" w:sz="4" w:space="0" w:color="000000"/>
              <w:bottom w:val="single" w:sz="4" w:space="0" w:color="000000"/>
              <w:end w:val="single" w:sz="4" w:space="0" w:color="000000"/>
            </w:tcBorders>
          </w:tcPr>
          <w:p>
            <w:pPr>
              <w:pStyle w:val="Normal"/>
              <w:rPr/>
            </w:pPr>
            <w:r>
              <w:rPr/>
              <w:t>A.98-07-003</w:t>
              <w:br/>
              <w:t>(Post PX Direct Access Credits)</w:t>
            </w:r>
          </w:p>
        </w:tc>
      </w:tr>
    </w:tbl>
    <w:p>
      <w:pPr>
        <w:pStyle w:val="zTitle"/>
        <w:spacing w:before="720" w:after="480"/>
        <w:rPr/>
      </w:pPr>
      <w:bookmarkStart w:id="0" w:name="zBriefTitle"/>
      <w:bookmarkEnd w:id="0"/>
      <w:r>
        <w:rPr/>
        <w:t>southern california edison company’S (u 338-E) prehearing conference statement</w:t>
      </w:r>
    </w:p>
    <w:p>
      <w:pPr>
        <w:pStyle w:val="zAttorneyNames"/>
        <w:rPr/>
      </w:pPr>
      <w:bookmarkStart w:id="1" w:name="zAttorneyName"/>
      <w:bookmarkEnd w:id="1"/>
      <w:r>
        <w:rPr/>
        <w:t>MEGAN SCOTT-KAKURES</w:t>
      </w:r>
    </w:p>
    <w:p>
      <w:pPr>
        <w:pStyle w:val="zAttorneyNames"/>
        <w:rPr/>
      </w:pPr>
      <w:r>
        <w:rPr/>
        <w:t>JENNIFER M. TSAO</w:t>
      </w:r>
    </w:p>
    <w:p>
      <w:pPr>
        <w:pStyle w:val="zAttorneysForTitlePage"/>
        <w:ind w:end="-540"/>
        <w:rPr/>
      </w:pPr>
      <w:r>
        <w:rPr/>
        <w:t>Attorneys for</w:t>
        <w:br/>
        <w:t>SOUTHERN CALIFORNIA EDISON COMPANY</w:t>
      </w:r>
    </w:p>
    <w:p>
      <w:pPr>
        <w:pStyle w:val="zEdisonAddressTitlePage"/>
        <w:rPr/>
      </w:pPr>
      <w:r>
        <w:rPr/>
        <w:t>2244 Walnut Grove Avenue</w:t>
        <w:br/>
        <w:t>Post Office Box 800</w:t>
        <w:br/>
        <w:t>Rosemead, California  91770</w:t>
      </w:r>
    </w:p>
    <w:p>
      <w:pPr>
        <w:pStyle w:val="zPhone"/>
        <w:rPr/>
      </w:pPr>
      <w:r>
        <w:rPr/>
        <w:t>Telephone:</w:t>
        <w:tab/>
      </w:r>
      <w:bookmarkStart w:id="2" w:name="zPhone"/>
      <w:bookmarkEnd w:id="2"/>
      <w:r>
        <w:rPr/>
        <w:t>(626) 302-6819</w:t>
      </w:r>
    </w:p>
    <w:p>
      <w:pPr>
        <w:pStyle w:val="zFacsimile"/>
        <w:rPr/>
      </w:pPr>
      <w:r>
        <w:rPr/>
        <w:t>Facsimile:</w:t>
        <w:tab/>
      </w:r>
      <w:bookmarkStart w:id="3" w:name="zFax"/>
      <w:bookmarkEnd w:id="3"/>
      <w:r>
        <w:rPr/>
        <w:t>(626) 302-2050</w:t>
      </w:r>
    </w:p>
    <w:p>
      <w:pPr>
        <w:pStyle w:val="zEmail"/>
        <w:rPr/>
      </w:pPr>
      <w:r>
        <w:rPr/>
        <w:t>E-mail:</w:t>
        <w:tab/>
      </w:r>
      <w:bookmarkStart w:id="4" w:name="zEmail"/>
      <w:bookmarkEnd w:id="4"/>
      <w:r>
        <w:rPr/>
        <w:t>jennifer.tsao@sce.com</w:t>
      </w:r>
    </w:p>
    <w:p>
      <w:pPr>
        <w:sectPr>
          <w:headerReference w:type="default" r:id="rId2"/>
          <w:footerReference w:type="default" r:id="rId3"/>
          <w:type w:val="nextPage"/>
          <w:pgSz w:w="12240" w:h="15840"/>
          <w:pgMar w:left="1440" w:right="1440" w:gutter="0" w:header="720" w:top="1440" w:footer="720" w:bottom="1440"/>
          <w:pgNumType w:start="1" w:fmt="decimal"/>
          <w:formProt w:val="false"/>
          <w:textDirection w:val="lrTb"/>
          <w:docGrid w:type="default" w:linePitch="360" w:charSpace="0"/>
        </w:sectPr>
        <w:pStyle w:val="zDate"/>
        <w:rPr/>
      </w:pPr>
      <w:r>
        <w:rPr>
          <w:color w:val="auto"/>
        </w:rPr>
        <w:t>Dated:</w:t>
      </w:r>
      <w:r>
        <w:rPr>
          <w:rStyle w:val="zDocDate"/>
        </w:rPr>
        <w:t xml:space="preserve">  </w:t>
      </w:r>
      <w:bookmarkStart w:id="5" w:name="zDate"/>
      <w:bookmarkEnd w:id="5"/>
      <w:r>
        <w:rPr>
          <w:rStyle w:val="zDocDate"/>
        </w:rPr>
        <w:t>November 7, 2001</w:t>
      </w:r>
    </w:p>
    <w:p>
      <w:pPr>
        <w:pStyle w:val="zHeader"/>
        <w:rPr/>
      </w:pPr>
      <w:r>
        <w:rPr/>
        <w:t>BEFORE THE PUBLIC UTILITIES COMMISSION OF THE</w:t>
        <w:br/>
        <w:t>STATE OF CALIFORNIA</w:t>
      </w:r>
    </w:p>
    <w:tbl>
      <w:tblPr>
        <w:tblW w:w="8856" w:type="dxa"/>
        <w:jc w:val="start"/>
        <w:tblInd w:w="0" w:type="dxa"/>
        <w:tblLayout w:type="fixed"/>
        <w:tblCellMar>
          <w:top w:w="0" w:type="dxa"/>
          <w:start w:w="108" w:type="dxa"/>
          <w:bottom w:w="0" w:type="dxa"/>
          <w:end w:w="108" w:type="dxa"/>
        </w:tblCellMar>
      </w:tblPr>
      <w:tblGrid>
        <w:gridCol w:w="4878"/>
        <w:gridCol w:w="3978"/>
      </w:tblGrid>
      <w:tr>
        <w:trPr/>
        <w:tc>
          <w:tcPr>
            <w:tcW w:w="4878" w:type="dxa"/>
            <w:tcBorders>
              <w:top w:val="single" w:sz="4" w:space="0" w:color="000000"/>
              <w:start w:val="single" w:sz="4" w:space="0" w:color="000000"/>
              <w:bottom w:val="single" w:sz="4" w:space="0" w:color="000000"/>
              <w:end w:val="single" w:sz="4" w:space="0" w:color="000000"/>
            </w:tcBorders>
          </w:tcPr>
          <w:p>
            <w:pPr>
              <w:pStyle w:val="Normal"/>
              <w:rPr/>
            </w:pPr>
            <w:r>
              <w:rPr/>
              <w:t>Application of PG&amp;E for Verification, etc.</w:t>
            </w:r>
          </w:p>
        </w:tc>
        <w:tc>
          <w:tcPr>
            <w:tcW w:w="3978" w:type="dxa"/>
            <w:tcBorders>
              <w:top w:val="single" w:sz="4" w:space="0" w:color="000000"/>
              <w:start w:val="single" w:sz="4" w:space="0" w:color="000000"/>
              <w:bottom w:val="single" w:sz="4" w:space="0" w:color="000000"/>
              <w:end w:val="single" w:sz="4" w:space="0" w:color="000000"/>
            </w:tcBorders>
          </w:tcPr>
          <w:p>
            <w:pPr>
              <w:pStyle w:val="Normal"/>
              <w:rPr/>
            </w:pPr>
            <w:r>
              <w:rPr/>
              <w:t>A.98-07-003</w:t>
              <w:br/>
              <w:t>(Suspend Payment of PX Credits)</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rPr/>
            </w:pPr>
            <w:r>
              <w:rPr/>
              <w:t>Application of PG&amp;E for Verification, etc.</w:t>
            </w:r>
          </w:p>
        </w:tc>
        <w:tc>
          <w:tcPr>
            <w:tcW w:w="3978" w:type="dxa"/>
            <w:tcBorders>
              <w:top w:val="single" w:sz="4" w:space="0" w:color="000000"/>
              <w:start w:val="single" w:sz="4" w:space="0" w:color="000000"/>
              <w:bottom w:val="single" w:sz="4" w:space="0" w:color="000000"/>
              <w:end w:val="single" w:sz="4" w:space="0" w:color="000000"/>
            </w:tcBorders>
          </w:tcPr>
          <w:p>
            <w:pPr>
              <w:pStyle w:val="Normal"/>
              <w:rPr/>
            </w:pPr>
            <w:r>
              <w:rPr/>
              <w:t>A.98-07-003</w:t>
              <w:br/>
              <w:t>(Implementation of Suspension of Direct Access)</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rPr/>
            </w:pPr>
            <w:r>
              <w:rPr/>
              <w:t>Application of PG&amp;E for Verification, etc.</w:t>
            </w:r>
          </w:p>
        </w:tc>
        <w:tc>
          <w:tcPr>
            <w:tcW w:w="3978" w:type="dxa"/>
            <w:tcBorders>
              <w:top w:val="single" w:sz="4" w:space="0" w:color="000000"/>
              <w:start w:val="single" w:sz="4" w:space="0" w:color="000000"/>
              <w:bottom w:val="single" w:sz="4" w:space="0" w:color="000000"/>
              <w:end w:val="single" w:sz="4" w:space="0" w:color="000000"/>
            </w:tcBorders>
          </w:tcPr>
          <w:p>
            <w:pPr>
              <w:pStyle w:val="Normal"/>
              <w:rPr/>
            </w:pPr>
            <w:r>
              <w:rPr/>
              <w:t>A.98-07-003</w:t>
              <w:br/>
              <w:t>(Suspend Audit of PX Credits)</w:t>
            </w:r>
          </w:p>
        </w:tc>
      </w:tr>
      <w:tr>
        <w:trPr/>
        <w:tc>
          <w:tcPr>
            <w:tcW w:w="4878" w:type="dxa"/>
            <w:tcBorders>
              <w:top w:val="single" w:sz="4" w:space="0" w:color="000000"/>
              <w:start w:val="single" w:sz="4" w:space="0" w:color="000000"/>
              <w:bottom w:val="single" w:sz="4" w:space="0" w:color="000000"/>
              <w:end w:val="single" w:sz="4" w:space="0" w:color="000000"/>
            </w:tcBorders>
          </w:tcPr>
          <w:p>
            <w:pPr>
              <w:pStyle w:val="Normal"/>
              <w:rPr/>
            </w:pPr>
            <w:r>
              <w:rPr/>
              <w:t>Application of PG&amp;E for Verification, etc.</w:t>
            </w:r>
          </w:p>
        </w:tc>
        <w:tc>
          <w:tcPr>
            <w:tcW w:w="3978" w:type="dxa"/>
            <w:tcBorders>
              <w:top w:val="single" w:sz="4" w:space="0" w:color="000000"/>
              <w:start w:val="single" w:sz="4" w:space="0" w:color="000000"/>
              <w:bottom w:val="single" w:sz="4" w:space="0" w:color="000000"/>
              <w:end w:val="single" w:sz="4" w:space="0" w:color="000000"/>
            </w:tcBorders>
          </w:tcPr>
          <w:p>
            <w:pPr>
              <w:pStyle w:val="Normal"/>
              <w:rPr/>
            </w:pPr>
            <w:r>
              <w:rPr/>
              <w:t>A.98-07-003</w:t>
              <w:br/>
              <w:t>(Post PX Direct Access Credits)</w:t>
            </w:r>
          </w:p>
        </w:tc>
      </w:tr>
    </w:tbl>
    <w:p>
      <w:pPr>
        <w:pStyle w:val="zTitle"/>
        <w:spacing w:before="720" w:after="480"/>
        <w:rPr/>
      </w:pPr>
      <w:r>
        <w:rPr/>
        <w:t>southern california edison company’s (u 338-e) PREHEARING CONFERENCE STATEMENT</w:t>
      </w:r>
    </w:p>
    <w:p>
      <w:pPr>
        <w:pStyle w:val="Heading1"/>
        <w:ind w:hanging="0" w:start="0"/>
        <w:rPr/>
      </w:pPr>
      <w:r>
        <w:rPr/>
        <w:br/>
        <w:t>INTRODUCTION</w:t>
      </w:r>
    </w:p>
    <w:p>
      <w:pPr>
        <w:pStyle w:val="Heading1Text"/>
        <w:rPr/>
      </w:pPr>
      <w:r>
        <w:rPr/>
        <w:t>Pursuant to the Administrative Law Judge’s Ruling Setting Prehearing Conference, dated October 11, 2001, Southern California Edison Company (SCE) respectfully submits this Prehearing Conference Statement regarding the Prehearing Conference scheduled for November 7, 2001 at 2:00 p.m., in the above-captioned proceeding.</w:t>
      </w:r>
    </w:p>
    <w:p>
      <w:pPr>
        <w:pStyle w:val="Heading1Text"/>
        <w:rPr/>
      </w:pPr>
      <w:r>
        <w:rPr/>
        <w:t>On Monday, October 29, 2001, SCE, Pacific Gas &amp; Electric Company (“PG&amp;E”), San Diego Gas &amp; Electric Company (“SDG&amp;E”), several Electric Service  Providers (“ESPs”) and several customer representatives met and conferred regarding the four issues identified in the Administrative Laws Judge’s Ruling Setting Prehearing Conference (“ALJ Ruling”).  SCE’s statement regarding those issues is set forth below.</w:t>
      </w:r>
    </w:p>
    <w:p>
      <w:pPr>
        <w:pStyle w:val="Heading1Text"/>
        <w:rPr/>
      </w:pPr>
      <w:r>
        <w:rPr/>
        <w:t xml:space="preserve">As stated by SCE in its Response to Assigned Commissioner’s Ruling Regarding Certain Direct Access Issues, filed November 2, 2001, in resolving Direct Access related issues, the Commission should ensure that costs are equitably assigned to Direct Access customers and bundled service customers so that inappropriate cost-shifting does not occur.  </w:t>
      </w:r>
    </w:p>
    <w:p>
      <w:pPr>
        <w:pStyle w:val="Heading1"/>
        <w:ind w:hanging="0" w:start="0"/>
        <w:rPr/>
      </w:pPr>
      <w:r>
        <w:rPr/>
        <w:br/>
        <w:t>discussion</w:t>
      </w:r>
    </w:p>
    <w:p>
      <w:pPr>
        <w:pStyle w:val="Heading2"/>
        <w:ind w:hanging="0" w:start="0"/>
        <w:rPr>
          <w:u w:val="none"/>
        </w:rPr>
      </w:pPr>
      <w:r>
        <w:rPr/>
        <w:t>Suspension of Payment of PX Credits</w:t>
      </w:r>
      <w:r>
        <w:rPr>
          <w:u w:val="none"/>
        </w:rPr>
        <w:t>.</w:t>
      </w:r>
    </w:p>
    <w:p>
      <w:pPr>
        <w:pStyle w:val="Heading2Text"/>
        <w:rPr/>
      </w:pPr>
      <w:r>
        <w:rPr/>
        <w:t>On January 5, 2001, SCE suspended payment of PX energy credits to ESPs and Direct Access customers due to SCE’s financial crisis resulting from the dysfunctional electricity market beginning in May 2000.  SCE now has a plan to restore itself to creditworthy status.  This plan includes paying PX energy credits that are due to Direct Access customers and ESPs by the first quarter of 2002 and recovering SCE’s net undercollection from Direct Access and bundled service customers alike, on the basis that both of these types of customers contributed equally to SCE’s net undercollection.  SCE’s proposal is discussed in detail below.</w:t>
      </w:r>
    </w:p>
    <w:p>
      <w:pPr>
        <w:pStyle w:val="Heading2Text"/>
        <w:rPr/>
      </w:pPr>
      <w:r>
        <w:rPr/>
      </w:r>
    </w:p>
    <w:p>
      <w:pPr>
        <w:pStyle w:val="Heading3"/>
        <w:ind w:hanging="0" w:start="0"/>
        <w:rPr/>
      </w:pPr>
      <w:r>
        <w:rPr/>
        <w:t>Background</w:t>
      </w:r>
    </w:p>
    <w:p>
      <w:pPr>
        <w:pStyle w:val="BlockText"/>
        <w:spacing w:lineRule="auto" w:line="480"/>
        <w:ind w:start="0" w:end="-720"/>
        <w:rPr/>
      </w:pPr>
      <w:r>
        <w:rPr>
          <w:rFonts w:cs="NewCenturySchlbk" w:ascii="NewCenturySchlbk" w:hAnsi="NewCenturySchlbk"/>
        </w:rPr>
        <w:t>From the inception of Direct Access, to ensure that both bundled service customers and Direct Access customers contributed equally to SCE’s recovery of stranded costs, Direct Access customers were billed based on a “top-down” approach.  This means that Direct Access customers were billed by first calculating their charges as if they were bundled service customers (with transmission, distribution, generation and other charges), and then were given a credit in the amount of SCE’s avoided cost in not having to procure energy for the Direct Access customer.  Until January 2001, the level of energy credit paid to Direct Access customers to reflect the fact that their energy was procured from another supplier was specified in Schedule PX.  The quantity and unit price of power purchased in the ISO and PX markets (day-ahead, day-of, real time, ancillary services, etc.) were combined with the rate group specific load profile data and adjusted for energy losses to produce weighted-average energy prices for each billing cycle.  These prices were displayed on all customer bills and used to calculate the energy credit provided to Direct Access customers.  At the beginning of the Direct Access market, the Direct Access credit was limited by a “zero minimum bill provision.”  In other words, if the PX energy credit exceeded the total bundled bill,</w:t>
      </w:r>
      <w:r>
        <w:rPr>
          <w:rStyle w:val="FootnoteCharacters"/>
          <w:rStyle w:val="FootnoteReference"/>
          <w:rFonts w:cs="NewCenturySchlbk" w:ascii="NewCenturySchlbk" w:hAnsi="NewCenturySchlbk"/>
        </w:rPr>
        <w:footnoteReference w:id="2"/>
      </w:r>
      <w:r>
        <w:rPr>
          <w:rFonts w:cs="NewCenturySchlbk" w:ascii="NewCenturySchlbk" w:hAnsi="NewCenturySchlbk"/>
        </w:rPr>
        <w:t xml:space="preserve"> the Direct Access customer would not receive a negative bill (i.e., credit) for the excess amount.  The Direct Access credit would be capped so that the Direct Access customers would receive, at most, a zero bill.</w:t>
      </w:r>
    </w:p>
    <w:p>
      <w:pPr>
        <w:pStyle w:val="BlockText"/>
        <w:spacing w:lineRule="auto" w:line="480"/>
        <w:ind w:start="0" w:end="-720"/>
        <w:rPr>
          <w:rFonts w:ascii="NewCenturySchlbk" w:hAnsi="NewCenturySchlbk" w:cs="NewCenturySchlbk"/>
        </w:rPr>
      </w:pPr>
      <w:r>
        <w:rPr>
          <w:rFonts w:cs="NewCenturySchlbk" w:ascii="NewCenturySchlbk" w:hAnsi="NewCenturySchlbk"/>
        </w:rPr>
        <w:t xml:space="preserve">In June 1999, pursuant to D.99-06-058, the zero minimum bill provision was eliminated.  This lifted the cap on the Direct Access credit.  Thus, if the PX energy credit exceeded the bundled bill, the Direct Access customer would receive a negative bill (i.e., credit) for the excess amount.  It is important to recognize that due to the elimination of the zero minimum bill, Direct Access customers and bundled services customers have contributed equally to SCE’s undercollection since the time that wholesale energy prices for the utilities began to skyrocket in May 2000.  This phenomenon is discussed in detail below.  </w:t>
      </w:r>
    </w:p>
    <w:p>
      <w:pPr>
        <w:pStyle w:val="BlockText"/>
        <w:spacing w:lineRule="auto" w:line="480"/>
        <w:ind w:start="0" w:end="-720"/>
        <w:rPr/>
      </w:pPr>
      <w:r>
        <w:rPr>
          <w:rFonts w:cs="NewCenturySchlbk" w:ascii="NewCenturySchlbk" w:hAnsi="NewCenturySchlbk"/>
        </w:rPr>
        <w:t>On January 5, 2001, SCE suspended payments to Direct Access customers for credit bills because the application of the PX energy credit based on the exorbitant wholesale energy prices created a huge and growing undercollection and financial crisis for SCE.</w:t>
      </w:r>
      <w:r>
        <w:rPr>
          <w:rStyle w:val="FootnoteCharacters"/>
          <w:rStyle w:val="FootnoteReference"/>
          <w:rFonts w:cs="NewCenturySchlbk" w:ascii="NewCenturySchlbk" w:hAnsi="NewCenturySchlbk"/>
        </w:rPr>
        <w:footnoteReference w:id="3"/>
      </w:r>
      <w:r>
        <w:rPr>
          <w:rFonts w:cs="NewCenturySchlbk" w:ascii="NewCenturySchlbk" w:hAnsi="NewCenturySchlbk"/>
        </w:rPr>
        <w:t xml:space="preserve">  Prior to that time, SCE generally paid Direct Access customers for their credit bills upon request by the customer (or ESP), or with the closing of an account.</w:t>
      </w:r>
    </w:p>
    <w:p>
      <w:pPr>
        <w:pStyle w:val="BlockText"/>
        <w:spacing w:lineRule="auto" w:line="480"/>
        <w:ind w:start="0" w:end="-720"/>
        <w:rPr>
          <w:rFonts w:ascii="NewCenturySchlbk" w:hAnsi="NewCenturySchlbk" w:cs="NewCenturySchlbk"/>
        </w:rPr>
      </w:pPr>
      <w:r>
        <w:rPr>
          <w:rFonts w:cs="NewCenturySchlbk" w:ascii="NewCenturySchlbk" w:hAnsi="NewCenturySchlbk"/>
        </w:rPr>
        <w:t xml:space="preserve">On January 19, 2001, SCE ended participation in the day-ahead and day-of market power purchases with the PX.  Also, the Federal Energy Regulatory Commission (“FERC”) issued an order revoking SCE’s authority to sell power from its retained generation into the PX markets (DN EL00-95-000).  </w:t>
      </w:r>
    </w:p>
    <w:p>
      <w:pPr>
        <w:pStyle w:val="BlockText"/>
        <w:spacing w:lineRule="auto" w:line="480"/>
        <w:ind w:start="0" w:end="-720"/>
        <w:rPr>
          <w:rFonts w:ascii="NewCenturySchlbk" w:hAnsi="NewCenturySchlbk" w:cs="NewCenturySchlbk"/>
        </w:rPr>
      </w:pPr>
      <w:r>
        <w:rPr>
          <w:rFonts w:cs="NewCenturySchlbk" w:ascii="NewCenturySchlbk" w:hAnsi="NewCenturySchlbk"/>
        </w:rPr>
        <w:t>Since May of 2000, SCE has built up an approximate $3.6 billion undercollection in its regulatory accounts.  SCE now proposes a method to handle both (i) SCE’s payment of past and future Direct Access credits to Direct Access customers and ESPs and (ii) ESPs’ and Direct Access customers’ payment of their share of SCE’s undercollection to SCE going forward.</w:t>
      </w:r>
      <w:r>
        <w:rPr>
          <w:rStyle w:val="FootnoteCharacters"/>
          <w:rStyle w:val="FootnoteReference"/>
          <w:rFonts w:cs="NewCenturySchlbk" w:ascii="NewCenturySchlbk" w:hAnsi="NewCenturySchlbk"/>
        </w:rPr>
        <w:footnoteReference w:id="4"/>
      </w:r>
    </w:p>
    <w:p>
      <w:pPr>
        <w:pStyle w:val="Heading3"/>
        <w:ind w:hanging="0" w:start="0"/>
        <w:rPr/>
      </w:pPr>
      <w:r>
        <w:rPr/>
        <w:t xml:space="preserve">SCE’s Proposal </w:t>
      </w:r>
    </w:p>
    <w:p>
      <w:pPr>
        <w:pStyle w:val="BlockText"/>
        <w:spacing w:lineRule="auto" w:line="480"/>
        <w:ind w:start="0" w:end="-720"/>
        <w:rPr>
          <w:rFonts w:ascii="NewCenturySchlbk" w:hAnsi="NewCenturySchlbk" w:cs="NewCenturySchlbk"/>
        </w:rPr>
      </w:pPr>
      <w:r>
        <w:rPr>
          <w:rFonts w:cs="NewCenturySchlbk" w:ascii="NewCenturySchlbk" w:hAnsi="NewCenturySchlbk"/>
        </w:rPr>
        <w:t>As the example below demonstrates, each Direct Access customer contributed to SCE’s procurement costs undercollection as if they were bundled service customers.  Consider a bundled service customer with 1000 kWh usage during a particular billing cycle and an average rate during that billing cycle of 10 c/kWh, resulting in a total bill of $100.  Further assume that $40 of this amount is for recovery of non-generation costs.  Thus, this customer contributed $60 to recovery of SCE’s procurement and uneconomic generation (transition) costs.  While the price of energy SCE procured for this customer from various sources was below 6 c/kWh, the customer contributed positively to SCE’s recovery of its transition costs.  When the price of energy rose above 6 c/kWh the customer did not contribute anything to recovery of transition costs and, in addition, SCE started accumulating its procurement cost undercollection.</w:t>
      </w:r>
    </w:p>
    <w:p>
      <w:pPr>
        <w:pStyle w:val="BlockText"/>
        <w:spacing w:lineRule="auto" w:line="480"/>
        <w:ind w:start="0" w:end="-720"/>
        <w:rPr>
          <w:rFonts w:ascii="NewCenturySchlbk" w:hAnsi="NewCenturySchlbk" w:cs="NewCenturySchlbk"/>
        </w:rPr>
      </w:pPr>
      <w:r>
        <w:rPr>
          <w:rFonts w:cs="NewCenturySchlbk" w:ascii="NewCenturySchlbk" w:hAnsi="NewCenturySchlbk"/>
        </w:rPr>
        <w:t xml:space="preserve">For instance, if SCE had to procure energy for this customer at 14 c/kWh, the customer contributed $80 [(14 c/kWh – 6 c/kWh) x 1000 kWh] to SCE’s procurement costs undercollection during the billing cycle.  </w:t>
      </w:r>
    </w:p>
    <w:p>
      <w:pPr>
        <w:pStyle w:val="Normal"/>
        <w:spacing w:lineRule="auto" w:line="480"/>
        <w:ind w:firstLine="720" w:end="-720"/>
        <w:rPr/>
      </w:pPr>
      <w:r>
        <w:rPr/>
        <w:t>Now, consider a similarly situated Direct Access customer.  This Direct Access customer’s bill was first calculated like a bundled service customer ($100).  Then the Direct Access customer was credited with $140 which SCE avoided by not having to buy energy for that Direct Access customer at 14 c/kWh, resulting in a negative (credit) bill of $40.  Because SCE must also recover its non-generation (e.g., transmission and distribution) costs from this Direct Access customer in the same manner as the bundled service customer, SCE ended up having a generation-related undercollection of $80 from this Direct Access customer – which is precisely the same amount of generation-related undercollection contributed by the bundled service customer</w:t>
      </w:r>
    </w:p>
    <w:p>
      <w:pPr>
        <w:pStyle w:val="Normal"/>
        <w:spacing w:lineRule="auto" w:line="480"/>
        <w:ind w:firstLine="720" w:end="-720"/>
        <w:rPr/>
      </w:pPr>
      <w:r>
        <w:rPr/>
        <w:t>Given that Direct Access customers will have contributed in the same manner to recovery of SCE’s transition costs or the build-up of procurement costs undercollection ($3.6 billion as of August 31, 2001) if they are paid for all their past credit or negative bills, SCE proposes the following simple and equitable approach to settling all Direct Access credit claims:</w:t>
      </w:r>
    </w:p>
    <w:p>
      <w:pPr>
        <w:pStyle w:val="Normal"/>
        <w:numPr>
          <w:ilvl w:val="1"/>
          <w:numId w:val="2"/>
        </w:numPr>
        <w:spacing w:lineRule="auto" w:line="480"/>
        <w:ind w:hanging="360" w:start="1440" w:end="-720"/>
        <w:rPr/>
      </w:pPr>
      <w:r>
        <w:rPr>
          <w:u w:val="single"/>
        </w:rPr>
        <w:t>Period through January 18, 2001</w:t>
      </w:r>
      <w:r>
        <w:rPr/>
        <w:t>:  SCE will pay</w:t>
      </w:r>
      <w:r>
        <w:rPr>
          <w:rStyle w:val="FootnoteCharacters"/>
          <w:rStyle w:val="FootnoteReference"/>
        </w:rPr>
        <w:footnoteReference w:id="5"/>
      </w:r>
      <w:r>
        <w:rPr/>
        <w:t xml:space="preserve"> all negative bill credits owed to Direct Access customers (or their ESPs) as of January 5, 2001.  SCE also agrees to pay these customers any negative bills accrued during the remaining period of SCE’s participation in the PX markets between January 5 and January 18, 2001 based on the same methodology used prior to January 5, 2001.</w:t>
      </w:r>
    </w:p>
    <w:p>
      <w:pPr>
        <w:pStyle w:val="Normal"/>
        <w:numPr>
          <w:ilvl w:val="1"/>
          <w:numId w:val="2"/>
        </w:numPr>
        <w:spacing w:lineRule="auto" w:line="480"/>
        <w:ind w:hanging="360" w:start="1440" w:end="-720"/>
        <w:rPr/>
      </w:pPr>
      <w:r>
        <w:rPr>
          <w:u w:val="single"/>
        </w:rPr>
        <w:t>January 19, 2001 – June 2, 2001</w:t>
      </w:r>
      <w:r>
        <w:rPr/>
        <w:t>:  SCE will also pay any negative bill credits resulting from crediting Direct Access customers with an amount based on SCE’s total energy procurement costs, including QF, DWR, URG, and ISO costs, after January 18, 2001 until June 3, 2001 when SCE moved to crediting Direct Access customers based on the generation rates of their tariffs.  This would require approval by the Commission as the Commission never approved SCE’s Advice Letter 1514-E proposing this methodology after SCE ceased its participation in the PX markets.</w:t>
      </w:r>
      <w:r>
        <w:rPr>
          <w:rStyle w:val="FootnoteCharacters"/>
          <w:rStyle w:val="FootnoteReference"/>
        </w:rPr>
        <w:footnoteReference w:id="6"/>
      </w:r>
      <w:r>
        <w:rPr/>
        <w:t xml:space="preserve">  </w:t>
      </w:r>
    </w:p>
    <w:p>
      <w:pPr>
        <w:pStyle w:val="Normal"/>
        <w:numPr>
          <w:ilvl w:val="1"/>
          <w:numId w:val="2"/>
        </w:numPr>
        <w:spacing w:lineRule="auto" w:line="480"/>
        <w:ind w:hanging="360" w:start="1440" w:end="-720"/>
        <w:rPr/>
      </w:pPr>
      <w:r>
        <w:rPr>
          <w:u w:val="single"/>
        </w:rPr>
        <w:t>June 3, 2001 – December 31, 2001</w:t>
      </w:r>
      <w:r>
        <w:rPr/>
        <w:t xml:space="preserve">:  There have not been any negative bills after June 3, 2001 because crediting of direct access customers based on the generation rate of their otherwise applicable tariff, which includes the Commission-approved surcharges, cannot result in a negative bill.  Bundled service customers also did not contribute any new undercollection during this period.  Because the Commission has not yet approved Advice 1529-E, the Commission will need to authorize SCE’s method of crediting Direct Access customers with the generation rate of their tariffs from June 3, 2001, through December 31, 2001.  SCE will revise its Advice 1529-E to request that the Commission authorize this method for the time period from June 3, 2001 through December 31, 2001 (rather than from January 19, 2001, forward, as currently proposed in Advice 1529-E).  </w:t>
      </w:r>
    </w:p>
    <w:p>
      <w:pPr>
        <w:pStyle w:val="Normal"/>
        <w:numPr>
          <w:ilvl w:val="1"/>
          <w:numId w:val="2"/>
        </w:numPr>
        <w:spacing w:lineRule="auto" w:line="480"/>
        <w:ind w:hanging="360" w:start="1440" w:end="-720"/>
        <w:rPr/>
      </w:pPr>
      <w:r>
        <w:rPr>
          <w:u w:val="single"/>
        </w:rPr>
        <w:t>January 1, 2002 – December 31, 2003</w:t>
      </w:r>
      <w:r>
        <w:rPr/>
        <w:t>:  Starting January 2002, SCE will amortize the PROACT</w:t>
      </w:r>
      <w:r>
        <w:rPr>
          <w:rStyle w:val="FootnoteCharacters"/>
          <w:rStyle w:val="FootnoteReference"/>
        </w:rPr>
        <w:footnoteReference w:id="7"/>
      </w:r>
      <w:r>
        <w:rPr/>
        <w:t xml:space="preserve"> balance as of August 31, 2001 ($3.6 billion) over a period not to exceed beyond December 31, 2005.</w:t>
      </w:r>
      <w:r>
        <w:rPr>
          <w:rStyle w:val="FootnoteCharacters"/>
          <w:rStyle w:val="FootnoteReference"/>
        </w:rPr>
        <w:footnoteReference w:id="8"/>
      </w:r>
      <w:r>
        <w:rPr/>
        <w:t xml:space="preserve">  SCE proposes to calculate a charge for Direct Access customers related to recovery of the PROACT </w:t>
        <w:br/>
        <w:br/>
        <w:br/>
        <w:t>balance.</w:t>
      </w:r>
      <w:r>
        <w:rPr>
          <w:rStyle w:val="FootnoteCharacters"/>
          <w:rStyle w:val="FootnoteReference"/>
        </w:rPr>
        <w:footnoteReference w:id="9"/>
      </w:r>
      <w:r>
        <w:rPr/>
        <w:t xml:space="preserve">  It should be noted that since September 1, 2001, the Direct Access customers have contributed nothing to the recovery of the PROACT balance because they have been credited with the entire generation rate in their tariffs, while bundled service customers have contributed to reducing the PROACT balance through the surplus in their generation rate, which has resulted from their procurement costs being lower than their generation rate since that date.  Accordingly, it is equitable to recover the balance as of August 31, 2001 from direct access customers and not the balance as of January 1, 2002.</w:t>
      </w:r>
    </w:p>
    <w:p>
      <w:pPr>
        <w:pStyle w:val="Normal"/>
        <w:numPr>
          <w:ilvl w:val="1"/>
          <w:numId w:val="2"/>
        </w:numPr>
        <w:spacing w:lineRule="auto" w:line="480"/>
        <w:ind w:hanging="360" w:start="1440" w:end="-720"/>
        <w:rPr/>
      </w:pPr>
      <w:r>
        <w:rPr/>
        <w:t>Going forward, direct access customers will be credited with the generation rate of their otherwise applicable tariffs, less the charge described in (d) above for recovery of the PROACT balance until the approximately two-year amortization period for the PROACT balance ends.</w:t>
      </w:r>
      <w:r>
        <w:rPr>
          <w:rStyle w:val="FootnoteCharacters"/>
          <w:rStyle w:val="FootnoteReference"/>
        </w:rPr>
        <w:footnoteReference w:id="10"/>
      </w:r>
      <w:r>
        <w:rPr/>
        <w:t xml:space="preserve">  </w:t>
      </w:r>
    </w:p>
    <w:p>
      <w:pPr>
        <w:pStyle w:val="Normal"/>
        <w:numPr>
          <w:ilvl w:val="1"/>
          <w:numId w:val="2"/>
        </w:numPr>
        <w:spacing w:lineRule="auto" w:line="480"/>
        <w:ind w:hanging="360" w:start="1440" w:end="-720"/>
        <w:rPr/>
      </w:pPr>
      <w:r>
        <w:rPr>
          <w:u w:val="single"/>
        </w:rPr>
        <w:t>January 1, 2004, forward</w:t>
      </w:r>
      <w:r>
        <w:rPr/>
        <w:t xml:space="preserve">:  After Direct Access customers pay the required amount toward the PROACT balance, Direct Access customers should be billed for SCE charges based on a bottoms-up approach.                </w:t>
      </w:r>
    </w:p>
    <w:p>
      <w:pPr>
        <w:pStyle w:val="Normal"/>
        <w:spacing w:lineRule="auto" w:line="480"/>
        <w:ind w:firstLine="720" w:end="-720"/>
        <w:rPr/>
      </w:pPr>
      <w:r>
        <w:rPr/>
        <w:t>Absent agreement on Direct Access customers’ responsibility for SCE’s past procurement costs undercollection, SCE believes that the amounts owed to ESPs should be deposited in an escrow account until FERC refund issues are decided</w:t>
      </w:r>
      <w:r>
        <w:rPr>
          <w:rStyle w:val="FootnoteCharacters"/>
          <w:rStyle w:val="FootnoteReference"/>
        </w:rPr>
        <w:footnoteReference w:id="11"/>
      </w:r>
      <w:r>
        <w:rPr/>
        <w:t xml:space="preserve"> and the Commission formally adopts a method of calculation of Direct Access credit from January 19, 2001, forward.</w:t>
      </w:r>
    </w:p>
    <w:p>
      <w:pPr>
        <w:pStyle w:val="Heading3"/>
        <w:ind w:hanging="0" w:start="0"/>
        <w:rPr/>
      </w:pPr>
      <w:r>
        <w:rPr/>
        <w:t>Response to Proposal</w:t>
      </w:r>
    </w:p>
    <w:p>
      <w:pPr>
        <w:pStyle w:val="Normal"/>
        <w:spacing w:lineRule="auto" w:line="480"/>
        <w:ind w:firstLine="720" w:end="-720"/>
        <w:rPr/>
      </w:pPr>
      <w:r>
        <w:rPr/>
        <w:t xml:space="preserve">SCE has communicated the details of the above proposal to each ESP to which SCE owes Direct Access credits.  Some ESPs have responded favorably to SCE’s proposal, some have not, and others are still considering the proposal.  </w:t>
      </w:r>
    </w:p>
    <w:p>
      <w:pPr>
        <w:pStyle w:val="Heading2"/>
        <w:ind w:hanging="0" w:start="0"/>
        <w:rPr/>
      </w:pPr>
      <w:r>
        <w:rPr/>
        <w:t>Implementation of Suspension of Direct Access</w:t>
      </w:r>
      <w:r>
        <w:rPr>
          <w:u w:val="none"/>
        </w:rPr>
        <w:t>.</w:t>
      </w:r>
    </w:p>
    <w:p>
      <w:pPr>
        <w:pStyle w:val="Heading2Text"/>
        <w:rPr/>
      </w:pPr>
      <w:r>
        <w:rPr/>
        <w:t>SCE incorporates herein its Response to Assigned Commissioner’s Ruling Regarding Comments on Certain Direct Access Issues, filed November 2, 2001 in this proceeding.  In that filing, SCE generally advocated:</w:t>
      </w:r>
    </w:p>
    <w:p>
      <w:pPr>
        <w:pStyle w:val="Heading2Text"/>
        <w:ind w:hanging="720" w:start="1440" w:end="0"/>
        <w:rPr/>
      </w:pPr>
      <w:r>
        <w:rPr/>
        <w:t>(1)</w:t>
        <w:tab/>
        <w:t>That the Commission prevent the shifting of costs that should be borne by Direct Access customers and bundled service customers alike solely to bundled service customers; and</w:t>
      </w:r>
    </w:p>
    <w:p>
      <w:pPr>
        <w:pStyle w:val="Heading2Text"/>
        <w:ind w:hanging="720" w:start="1440" w:end="0"/>
        <w:rPr/>
      </w:pPr>
      <w:r>
        <w:rPr/>
        <w:t>(2)</w:t>
        <w:tab/>
        <w:t>That the Commission implement a DASR cut-off date to effectuate the suspension of Direct Access as early as possible to eliminate further cost-shifting.</w:t>
      </w:r>
    </w:p>
    <w:p>
      <w:pPr>
        <w:pStyle w:val="Heading2"/>
        <w:ind w:hanging="0" w:start="0"/>
        <w:rPr/>
      </w:pPr>
      <w:r>
        <w:rPr/>
        <w:t>Suspend Audit of PX Credits</w:t>
      </w:r>
      <w:r>
        <w:rPr>
          <w:u w:val="none"/>
        </w:rPr>
        <w:t>.</w:t>
      </w:r>
    </w:p>
    <w:p>
      <w:pPr>
        <w:pStyle w:val="Heading2Text"/>
        <w:rPr/>
      </w:pPr>
      <w:r>
        <w:rPr/>
        <w:t>On July 10, 2001, the three UDCs filed a Joint Petition for suspension of the PX Audit.</w:t>
      </w:r>
      <w:r>
        <w:rPr>
          <w:rStyle w:val="FootnoteCharacters"/>
          <w:rStyle w:val="FootnoteReference"/>
        </w:rPr>
        <w:footnoteReference w:id="12"/>
      </w:r>
      <w:r>
        <w:rPr/>
        <w:t xml:space="preserve">  On July 23, 2001, the Assigned Commissioner issued a ruling ordering that the PX Audit be suspended, except to complete the review of the remaining monthly Power Exchange Energy Credits calculations in the year 2000, pending a final decision on the Joint Petition.  </w:t>
      </w:r>
    </w:p>
    <w:p>
      <w:pPr>
        <w:pStyle w:val="Heading2Text"/>
        <w:rPr/>
      </w:pPr>
      <w:r>
        <w:rPr/>
        <w:t xml:space="preserve">At the Meet and Confer, the parties agreed that the request in the Joint Petition for termination of the PX Audit effective December 2000, has been briefed by the parties and request that the Commission issue a decision based on the existing record before it.  </w:t>
      </w:r>
    </w:p>
    <w:p>
      <w:pPr>
        <w:pStyle w:val="Heading2"/>
        <w:ind w:hanging="0" w:start="0"/>
        <w:rPr/>
      </w:pPr>
      <w:r>
        <w:rPr/>
        <w:t>Post PX Direct Access Credits</w:t>
      </w:r>
      <w:r>
        <w:rPr>
          <w:u w:val="none"/>
        </w:rPr>
        <w:t>.</w:t>
      </w:r>
    </w:p>
    <w:p>
      <w:pPr>
        <w:pStyle w:val="Heading3Text"/>
        <w:ind w:start="0" w:end="0"/>
        <w:rPr/>
      </w:pPr>
      <w:r>
        <w:rPr/>
        <w:t>As discussed in Section IIA., above, SCE proposes that Direct Access credits be calculated as follows:</w:t>
      </w:r>
    </w:p>
    <w:p>
      <w:pPr>
        <w:pStyle w:val="Heading3Text"/>
        <w:ind w:start="0" w:end="0"/>
        <w:rPr/>
      </w:pPr>
      <w:r>
        <w:rPr/>
      </w:r>
    </w:p>
    <w:tbl>
      <w:tblPr>
        <w:tblW w:w="9812" w:type="dxa"/>
        <w:jc w:val="start"/>
        <w:tblInd w:w="0" w:type="dxa"/>
        <w:tblLayout w:type="fixed"/>
        <w:tblCellMar>
          <w:top w:w="0" w:type="dxa"/>
          <w:start w:w="108" w:type="dxa"/>
          <w:bottom w:w="0" w:type="dxa"/>
          <w:end w:w="108" w:type="dxa"/>
        </w:tblCellMar>
      </w:tblPr>
      <w:tblGrid>
        <w:gridCol w:w="3798"/>
        <w:gridCol w:w="6014"/>
      </w:tblGrid>
      <w:tr>
        <w:trPr/>
        <w:tc>
          <w:tcPr>
            <w:tcW w:w="3798"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6/10/99 - 1/18/01</w:t>
            </w:r>
          </w:p>
        </w:tc>
        <w:tc>
          <w:tcPr>
            <w:tcW w:w="6014"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Based on Schedule PX and no zero minimum bill</w:t>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1/19/01 - 6/02/01</w:t>
            </w:r>
          </w:p>
        </w:tc>
        <w:tc>
          <w:tcPr>
            <w:tcW w:w="6014"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Based on SCE’s total energy procurement costs</w:t>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6/03/01 - 12/31/01</w:t>
            </w:r>
          </w:p>
        </w:tc>
        <w:tc>
          <w:tcPr>
            <w:tcW w:w="6014"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Based on the generation rate in applicable tariff</w:t>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1/01/02 – Amortization Period</w:t>
            </w:r>
          </w:p>
        </w:tc>
        <w:tc>
          <w:tcPr>
            <w:tcW w:w="6014"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Based on generation rate less PROACT charge</w:t>
            </w:r>
          </w:p>
        </w:tc>
      </w:tr>
      <w:tr>
        <w:trPr/>
        <w:tc>
          <w:tcPr>
            <w:tcW w:w="3798"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Amortization Period - Future</w:t>
            </w:r>
          </w:p>
        </w:tc>
        <w:tc>
          <w:tcPr>
            <w:tcW w:w="6014" w:type="dxa"/>
            <w:tcBorders>
              <w:top w:val="single" w:sz="4" w:space="0" w:color="000000"/>
              <w:start w:val="single" w:sz="4" w:space="0" w:color="000000"/>
              <w:bottom w:val="single" w:sz="4" w:space="0" w:color="000000"/>
              <w:end w:val="single" w:sz="4" w:space="0" w:color="000000"/>
            </w:tcBorders>
          </w:tcPr>
          <w:p>
            <w:pPr>
              <w:pStyle w:val="Heading3Text"/>
              <w:ind w:hanging="0" w:start="0" w:end="0"/>
              <w:rPr/>
            </w:pPr>
            <w:r>
              <w:rPr/>
              <w:t>Based on bottoms-up approach</w:t>
            </w:r>
          </w:p>
        </w:tc>
      </w:tr>
    </w:tbl>
    <w:p>
      <w:pPr>
        <w:pStyle w:val="Heading3Text"/>
        <w:ind w:hanging="0" w:start="0" w:end="0"/>
        <w:rPr/>
      </w:pPr>
      <w:r>
        <w:rPr/>
      </w:r>
    </w:p>
    <w:p>
      <w:pPr>
        <w:pStyle w:val="Heading3Text"/>
        <w:ind w:start="0" w:end="0"/>
        <w:rPr/>
      </w:pPr>
      <w:r>
        <w:rPr/>
        <w:t xml:space="preserve">In addition to the PROACT charge, Direct Access customers should also pay other charges (that should be subtracted from the generation rate before it is credited to the Direct Access customers) for DWR costs for which Direct Access customers may be responsible and SCE’s ongoing QF and employee-related transition costs pursuant to Public Utilities Code Sections 367(a)(1) and 367(a)(2).  DWR’s costs include its past procurement costs incurred on behalf of Direct Access customers who received DWR energy during the early part of this year as bundled service customers and any “stranded” DWR contract costs going forward.  </w:t>
      </w:r>
    </w:p>
    <w:p>
      <w:pPr>
        <w:pStyle w:val="Heading2"/>
        <w:ind w:hanging="0" w:start="0"/>
        <w:rPr/>
      </w:pPr>
      <w:r>
        <w:rPr/>
        <w:t>Hearings and Schedule</w:t>
      </w:r>
    </w:p>
    <w:p>
      <w:pPr>
        <w:pStyle w:val="Heading3Text"/>
        <w:ind w:start="0" w:end="0"/>
        <w:rPr/>
      </w:pPr>
      <w:r>
        <w:rPr/>
        <w:t>SCE’s proposal concerning the PROACT charge for its customers does not require hearings, since it presents only legal and no factual issues, and may be decided based on filings by the parties.  If the Commission decides a short hearing is necessary, it should be held as soon as possible so that the PROACT issue is resolved by the end of the year.</w:t>
      </w:r>
    </w:p>
    <w:p>
      <w:pPr>
        <w:pStyle w:val="Heading3Text"/>
        <w:ind w:start="0" w:end="0"/>
        <w:rPr/>
      </w:pPr>
      <w:r>
        <w:rPr/>
        <w:t>A hearing is necessary only on the issue of the amount of the charge for DWR costs and transition costs to be subtracted from the generation rate before it is credited to Direct Access customers.  SCE proposes the following schedule for hearings on the Direct Access credit going forward.</w:t>
      </w:r>
    </w:p>
    <w:p>
      <w:pPr>
        <w:pStyle w:val="Heading3Text"/>
        <w:ind w:start="0" w:end="0"/>
        <w:rPr/>
      </w:pPr>
      <w:r>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240"/>
              <w:rPr/>
            </w:pPr>
            <w:r>
              <w:rPr/>
            </w:r>
          </w:p>
          <w:p>
            <w:pPr>
              <w:pStyle w:val="Normal"/>
              <w:spacing w:lineRule="exact" w:line="240"/>
              <w:rPr/>
            </w:pPr>
            <w:r>
              <w:rPr/>
              <w:t>Post-PX Direct Access Credit Testimony</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December 18, 2001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Intervenor Testimony</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January 31, 2001</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Rebuttal Testimony</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February 19, 2002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Hearings</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March 22-25, 2002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Opening Briefs</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April 12, 2002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Reply Briefs</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May 3, 2002</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Proposed Decision</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TBD</w:t>
            </w:r>
          </w:p>
        </w:tc>
      </w:tr>
      <w:tr>
        <w:trPr/>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Final Decision</w:t>
            </w:r>
          </w:p>
        </w:tc>
        <w:tc>
          <w:tcPr>
            <w:tcW w:w="4788" w:type="dxa"/>
            <w:tcBorders>
              <w:top w:val="single" w:sz="4" w:space="0" w:color="000000"/>
              <w:start w:val="single" w:sz="4" w:space="0" w:color="000000"/>
              <w:bottom w:val="single" w:sz="4" w:space="0" w:color="000000"/>
              <w:end w:val="single" w:sz="4" w:space="0" w:color="000000"/>
            </w:tcBorders>
          </w:tcPr>
          <w:p>
            <w:pPr>
              <w:pStyle w:val="Normal"/>
              <w:spacing w:lineRule="exact" w:line="480"/>
              <w:rPr/>
            </w:pPr>
            <w:r>
              <w:rPr/>
              <w:t>TBD</w:t>
            </w:r>
          </w:p>
        </w:tc>
      </w:tr>
    </w:tbl>
    <w:p>
      <w:pPr>
        <w:pStyle w:val="Heading3Text"/>
        <w:ind w:start="0" w:end="0"/>
        <w:rPr/>
      </w:pPr>
      <w:r>
        <w:rPr/>
      </w:r>
    </w:p>
    <w:p>
      <w:pPr>
        <w:pStyle w:val="Heading3Text"/>
        <w:ind w:start="0" w:end="0"/>
        <w:rPr/>
      </w:pPr>
      <w:r>
        <w:rPr/>
      </w:r>
    </w:p>
    <w:p>
      <w:pPr>
        <w:pStyle w:val="Heading3Text"/>
        <w:ind w:start="0" w:end="0"/>
        <w:rPr/>
      </w:pPr>
      <w:r>
        <w:rPr/>
        <w:t xml:space="preserve">All other issues can be decided without hearings based on the parties’ filings.  </w:t>
      </w:r>
    </w:p>
    <w:p>
      <w:pPr>
        <w:pStyle w:val="Normal"/>
        <w:keepNext w:val="true"/>
        <w:spacing w:lineRule="atLeast" w:line="240" w:before="240" w:after="0"/>
        <w:ind w:start="3600" w:end="0"/>
        <w:rPr/>
      </w:pPr>
      <w:r>
        <w:rPr/>
        <w:t>Respectfully submitted,</w:t>
      </w:r>
    </w:p>
    <w:p>
      <w:pPr>
        <w:pStyle w:val="zAttorneyNames"/>
        <w:rPr>
          <w:color w:val="0000FF"/>
        </w:rPr>
      </w:pPr>
      <w:r>
        <w:rPr>
          <w:color w:val="0000FF"/>
        </w:rPr>
      </w:r>
    </w:p>
    <w:p>
      <w:pPr>
        <w:pStyle w:val="zAttorneyNames"/>
        <w:rPr>
          <w:color w:val="0000FF"/>
        </w:rPr>
      </w:pPr>
      <w:bookmarkStart w:id="6" w:name="zAttorneys"/>
      <w:bookmarkEnd w:id="6"/>
      <w:r>
        <w:rPr>
          <w:color w:val="0000FF"/>
        </w:rPr>
        <w:t>MEGAN SCOTT-KAKURES</w:t>
      </w:r>
    </w:p>
    <w:p>
      <w:pPr>
        <w:pStyle w:val="zAttorneyNames"/>
        <w:rPr>
          <w:color w:val="0000FF"/>
        </w:rPr>
      </w:pPr>
      <w:r>
        <w:rPr>
          <w:color w:val="0000FF"/>
        </w:rPr>
        <w:t>JENNIFER M. TSAO</w:t>
      </w:r>
    </w:p>
    <w:p>
      <w:pPr>
        <w:pStyle w:val="Normal"/>
        <w:keepNext w:val="true"/>
        <w:spacing w:before="480" w:after="0"/>
        <w:rPr>
          <w:color w:val="0000FF"/>
        </w:rPr>
      </w:pPr>
      <w:r>
        <w:rPr>
          <w:color w:val="0000FF"/>
        </w:rPr>
      </w:r>
    </w:p>
    <w:tbl>
      <w:tblPr>
        <w:tblW w:w="5586" w:type="dxa"/>
        <w:jc w:val="start"/>
        <w:tblInd w:w="3600" w:type="dxa"/>
        <w:tblLayout w:type="fixed"/>
        <w:tblCellMar>
          <w:top w:w="0" w:type="dxa"/>
          <w:start w:w="72" w:type="dxa"/>
          <w:bottom w:w="0" w:type="dxa"/>
          <w:end w:w="72" w:type="dxa"/>
        </w:tblCellMar>
      </w:tblPr>
      <w:tblGrid>
        <w:gridCol w:w="690"/>
        <w:gridCol w:w="4896"/>
      </w:tblGrid>
      <w:tr>
        <w:trPr/>
        <w:tc>
          <w:tcPr>
            <w:tcW w:w="690" w:type="dxa"/>
            <w:tcBorders>
              <w:top w:val="single" w:sz="6" w:space="0" w:color="000000"/>
            </w:tcBorders>
          </w:tcPr>
          <w:p>
            <w:pPr>
              <w:pStyle w:val="Normal"/>
              <w:keepNext w:val="true"/>
              <w:spacing w:lineRule="atLeast" w:line="240"/>
              <w:rPr/>
            </w:pPr>
            <w:r>
              <w:rPr/>
              <w:t>By:</w:t>
            </w:r>
          </w:p>
        </w:tc>
        <w:tc>
          <w:tcPr>
            <w:tcW w:w="4896" w:type="dxa"/>
            <w:tcBorders>
              <w:top w:val="single" w:sz="6" w:space="0" w:color="000000"/>
            </w:tcBorders>
          </w:tcPr>
          <w:p>
            <w:pPr>
              <w:pStyle w:val="zAuthorName"/>
              <w:keepNext w:val="true"/>
              <w:rPr/>
            </w:pPr>
            <w:bookmarkStart w:id="7" w:name="zAuthorName"/>
            <w:bookmarkEnd w:id="7"/>
            <w:r>
              <w:rPr/>
              <w:t>Jennifer M. Tsao</w:t>
            </w:r>
          </w:p>
        </w:tc>
      </w:tr>
    </w:tbl>
    <w:p>
      <w:pPr>
        <w:pStyle w:val="zAttorneysFor"/>
        <w:ind w:end="-540"/>
        <w:rPr/>
      </w:pPr>
      <w:r>
        <w:rPr/>
        <w:t>Attorneys for</w:t>
        <w:br/>
        <w:t>SOUTHERN CALIFORNIA EDISON COMPANY</w:t>
      </w:r>
    </w:p>
    <w:p>
      <w:pPr>
        <w:pStyle w:val="zEdisonAddressTitlePage"/>
        <w:rPr>
          <w:color w:val="0000FF"/>
        </w:rPr>
      </w:pPr>
      <w:r>
        <w:rPr>
          <w:color w:val="0000FF"/>
        </w:rPr>
      </w:r>
    </w:p>
    <w:p>
      <w:pPr>
        <w:pStyle w:val="zPhone"/>
        <w:rPr>
          <w:color w:val="0000FF"/>
        </w:rPr>
      </w:pPr>
      <w:r>
        <w:rPr>
          <w:color w:val="0000FF"/>
        </w:rPr>
      </w:r>
    </w:p>
    <w:p>
      <w:pPr>
        <w:pStyle w:val="zFacsimile"/>
        <w:rPr/>
      </w:pPr>
      <w:r>
        <w:rPr/>
      </w:r>
    </w:p>
    <w:p>
      <w:pPr>
        <w:pStyle w:val="zEmail"/>
        <w:rPr/>
      </w:pPr>
      <w:r>
        <w:rPr/>
      </w:r>
    </w:p>
    <w:p>
      <w:pPr>
        <w:sectPr>
          <w:headerReference w:type="default" r:id="rId4"/>
          <w:headerReference w:type="first" r:id="rId5"/>
          <w:footerReference w:type="default" r:id="rId6"/>
          <w:footerReference w:type="first" r:id="rId7"/>
          <w:footnotePr>
            <w:numFmt w:val="decimal"/>
          </w:footnotePr>
          <w:type w:val="nextPage"/>
          <w:pgSz w:w="12240" w:h="15840"/>
          <w:pgMar w:left="1440" w:right="1440" w:gutter="0" w:header="720" w:top="1440" w:footer="720" w:bottom="1440"/>
          <w:pgNumType w:start="1" w:fmt="decimal"/>
          <w:formProt w:val="false"/>
          <w:textDirection w:val="lrTb"/>
          <w:docGrid w:type="default" w:linePitch="360" w:charSpace="0"/>
        </w:sectPr>
        <w:pStyle w:val="zDate2"/>
        <w:rPr/>
      </w:pPr>
      <w:r>
        <w:rPr/>
        <w:t>November 7, 2001</w:t>
      </w:r>
    </w:p>
    <w:p>
      <w:pPr>
        <w:pStyle w:val="heading11"/>
        <w:spacing w:lineRule="atLeast" w:line="240" w:before="480" w:after="720"/>
        <w:rPr/>
      </w:pPr>
      <w:bookmarkStart w:id="8" w:name="zAutoNum"/>
      <w:bookmarkEnd w:id="8"/>
      <w:r>
        <w:rPr/>
        <w:t>CERTIFICATE OF SERVICE</w:t>
      </w:r>
    </w:p>
    <w:p>
      <w:pPr>
        <w:pStyle w:val="Normal"/>
        <w:spacing w:lineRule="atLeast" w:line="480" w:before="0" w:after="240"/>
        <w:ind w:firstLine="720" w:end="0"/>
        <w:rPr/>
      </w:pPr>
      <w:r>
        <w:rPr/>
        <w:t xml:space="preserve">I hereby certify that, pursuant to the Commission’s Rules of Practice and Procedure, I have this day served a true copy of </w:t>
      </w:r>
      <w:r>
        <w:rPr>
          <w:b/>
          <w:color w:val="0000FF"/>
        </w:rPr>
        <w:t xml:space="preserve">SOUTHERN CALIFORNIA EDISON COMPANY’S PREHEARING CONFERENCE STATEMENT </w:t>
      </w:r>
      <w:r>
        <w:rPr/>
        <w:t>on all parties identified on the attached service list.  Service was effected by means indicated below:</w:t>
      </w:r>
    </w:p>
    <w:p>
      <w:pPr>
        <w:pStyle w:val="CertificateText"/>
        <w:ind w:hanging="720" w:start="1440" w:end="0"/>
        <w:rPr/>
      </w:pPr>
      <w:r>
        <w:rPr>
          <w:rFonts w:eastAsia="Wingdings" w:cs="Wingdings" w:ascii="Wingdings" w:hAnsi="Wingdings"/>
          <w:sz w:val="32"/>
        </w:rPr>
        <w:sym w:font="Wingdings" w:char="f06f"/>
      </w:r>
      <w:r>
        <w:rPr/>
        <w:tab/>
        <w:t>Placing the copies in properly addressed sealed envelopes and depositing such envelopes in the United States mail with first</w:t>
        <w:noBreakHyphen/>
        <w:t>class postage prepaid (Via First Class Mail);</w:t>
      </w:r>
    </w:p>
    <w:p>
      <w:pPr>
        <w:pStyle w:val="CertificateText"/>
        <w:ind w:hanging="720" w:start="1440" w:end="0"/>
        <w:rPr/>
      </w:pPr>
      <w:r>
        <w:rPr>
          <w:rFonts w:eastAsia="Wingdings" w:cs="Wingdings" w:ascii="Wingdings" w:hAnsi="Wingdings"/>
          <w:sz w:val="32"/>
        </w:rPr>
        <w:sym w:font="Wingdings" w:char="f06f"/>
      </w:r>
      <w:r>
        <w:rPr/>
        <w:tab/>
        <w:t>Placing the copies in sealed envelopes and causing such envelopes to be delivered by hand to the offices of each addressee (Via Courier);</w:t>
      </w:r>
    </w:p>
    <w:p>
      <w:pPr>
        <w:pStyle w:val="CertificateText"/>
        <w:ind w:hanging="720" w:start="1440" w:end="0"/>
        <w:rPr/>
      </w:pPr>
      <w:r>
        <w:rPr>
          <w:rFonts w:eastAsia="Wingdings" w:cs="Wingdings" w:ascii="Wingdings" w:hAnsi="Wingdings"/>
          <w:sz w:val="32"/>
        </w:rPr>
        <w:sym w:font="Wingdings" w:char="f06f"/>
      </w:r>
      <w:r>
        <w:rPr/>
        <w:tab/>
        <w:t>Transmitting the copies via facsimile, modem, or other electronic means (Via Electronic Means).</w:t>
      </w:r>
    </w:p>
    <w:p>
      <w:pPr>
        <w:pStyle w:val="Normal"/>
        <w:ind w:firstLine="720" w:end="0"/>
        <w:rPr/>
      </w:pPr>
      <w:bookmarkStart w:id="9" w:name="zCOSDate"/>
      <w:bookmarkEnd w:id="9"/>
      <w:r>
        <w:rPr/>
        <w:t xml:space="preserve">Executed this </w:t>
      </w:r>
      <w:r>
        <w:rPr>
          <w:b/>
          <w:color w:val="0000FF"/>
          <w:lang w:val="en-CA"/>
        </w:rPr>
        <w:t>7</w:t>
      </w:r>
      <w:r>
        <w:rPr>
          <w:b/>
          <w:color w:val="0000FF"/>
          <w:vertAlign w:val="superscript"/>
          <w:lang w:val="en-CA"/>
        </w:rPr>
        <w:t>th</w:t>
      </w:r>
      <w:r>
        <w:rPr>
          <w:color w:val="0000FF"/>
          <w:vertAlign w:val="superscript"/>
        </w:rPr>
        <w:t xml:space="preserve"> </w:t>
      </w:r>
      <w:r>
        <w:rPr>
          <w:b/>
          <w:color w:val="0000FF"/>
          <w:lang w:val="en-CA"/>
        </w:rPr>
        <w:t>day of November, 2001</w:t>
      </w:r>
      <w:r>
        <w:rPr/>
        <w:t>, at Rosemead, California.</w:t>
      </w:r>
    </w:p>
    <w:p>
      <w:pPr>
        <w:pStyle w:val="Normal"/>
        <w:keepNext w:val="true"/>
        <w:keepLines/>
        <w:spacing w:before="480" w:after="0"/>
        <w:ind w:start="3600" w:end="-547"/>
        <w:rPr/>
      </w:pPr>
      <w:r>
        <w:rPr/>
        <w:t>______________________________________________</w:t>
        <w:br/>
      </w:r>
      <w:bookmarkStart w:id="10" w:name="zSignatureName"/>
      <w:bookmarkEnd w:id="10"/>
      <w:r>
        <w:rPr/>
        <w:t>Susan Quon</w:t>
        <w:br/>
        <w:t>Project Analyst</w:t>
        <w:br/>
        <w:t>SOUTHERN CALIFORNIA EDISON COMPANY</w:t>
      </w:r>
    </w:p>
    <w:p>
      <w:pPr>
        <w:pStyle w:val="zEdisonAddressCOSPage1"/>
        <w:rPr/>
      </w:pPr>
      <w:r>
        <w:rPr/>
      </w:r>
    </w:p>
    <w:p>
      <w:pPr>
        <w:pStyle w:val="zEdisonAddressCOSPage1"/>
        <w:rPr/>
      </w:pPr>
      <w:bookmarkStart w:id="11" w:name="zCOSAddress"/>
      <w:bookmarkEnd w:id="11"/>
      <w:r>
        <w:rPr/>
        <w:t>2244 Walnut Grove Avenue</w:t>
      </w:r>
    </w:p>
    <w:p>
      <w:pPr>
        <w:pStyle w:val="zEdisonAddressCOSPage1"/>
        <w:rPr/>
      </w:pPr>
      <w:r>
        <w:rPr/>
        <w:t>Post Office Box 800</w:t>
      </w:r>
    </w:p>
    <w:p>
      <w:pPr>
        <w:pStyle w:val="zEdisonAddressCOSPage1"/>
        <w:rPr/>
      </w:pPr>
      <w:r>
        <w:rPr/>
        <w:t>Rosemead, California  91770</w:t>
      </w:r>
    </w:p>
    <w:p>
      <w:pPr>
        <w:sectPr>
          <w:headerReference w:type="default" r:id="rId8"/>
          <w:headerReference w:type="first" r:id="rId9"/>
          <w:footerReference w:type="default" r:id="rId10"/>
          <w:footerReference w:type="first" r:id="rId11"/>
          <w:footnotePr>
            <w:numFmt w:val="decimal"/>
          </w:footnotePr>
          <w:type w:val="nextPage"/>
          <w:pgSz w:w="12240" w:h="15840"/>
          <w:pgMar w:left="1440" w:right="1440" w:gutter="0" w:header="720" w:top="776" w:footer="720" w:bottom="1440"/>
          <w:pgNumType w:fmt="decimal"/>
          <w:formProt w:val="false"/>
          <w:textDirection w:val="lrTb"/>
          <w:docGrid w:type="default" w:linePitch="360" w:charSpace="0"/>
        </w:sectPr>
        <w:pStyle w:val="Normal"/>
        <w:rPr/>
      </w:pPr>
      <w:r>
        <w:rPr/>
      </w:r>
    </w:p>
    <w:p>
      <w:pPr>
        <w:pStyle w:val="Normal"/>
        <w:spacing w:lineRule="atLeast" w:line="240" w:before="480" w:after="480"/>
        <w:jc w:val="center"/>
        <w:rPr>
          <w:color w:val="0000FF"/>
          <w:lang w:val="en-CA"/>
        </w:rPr>
      </w:pPr>
      <w:r>
        <w:rPr>
          <w:color w:val="0000FF"/>
          <w:lang w:val="en-CA"/>
        </w:rPr>
        <w:t>November 7, 2001</w:t>
      </w:r>
    </w:p>
    <w:p>
      <w:pPr>
        <w:pStyle w:val="Normal"/>
        <w:spacing w:lineRule="atLeast" w:line="240"/>
        <w:rPr/>
      </w:pPr>
      <w:r>
        <w:rPr/>
        <w:t>Docket Clerk</w:t>
        <w:br/>
        <w:t>California Public Utilities Commission</w:t>
        <w:br/>
        <w:t>505 Van Ness Avenue</w:t>
        <w:br/>
        <w:t>San Francisco, California  94102</w:t>
      </w:r>
    </w:p>
    <w:p>
      <w:pPr>
        <w:pStyle w:val="Re"/>
        <w:rPr/>
      </w:pPr>
      <w:r>
        <w:rPr/>
        <w:t xml:space="preserve">Re:  </w:t>
      </w:r>
      <w:r>
        <w:rPr>
          <w:u w:val="single"/>
        </w:rPr>
        <w:t>a.98-07-026</w:t>
      </w:r>
    </w:p>
    <w:p>
      <w:pPr>
        <w:pStyle w:val="Salutation"/>
        <w:rPr/>
      </w:pPr>
      <w:r>
        <w:rPr/>
        <w:t>Dear Docket Clerk:</w:t>
      </w:r>
    </w:p>
    <w:p>
      <w:pPr>
        <w:pStyle w:val="LetterText"/>
        <w:rPr/>
      </w:pPr>
      <w:r>
        <w:rPr/>
        <w:t xml:space="preserve">Enclosed for filing with the Commission are the original and five copies of the </w:t>
      </w:r>
      <w:r>
        <w:rPr>
          <w:b/>
          <w:color w:val="0000FF"/>
        </w:rPr>
        <w:t xml:space="preserve">SOUTHERN CALIFORNIA EDISON COMPANY’S (U 338-E) PREHEARING CONFERENCE STATEMENT </w:t>
      </w:r>
      <w:r>
        <w:rPr/>
        <w:t>in the above-referenced proceeding.</w:t>
      </w:r>
    </w:p>
    <w:p>
      <w:pPr>
        <w:pStyle w:val="LetterText"/>
        <w:rPr/>
      </w:pPr>
      <w:r>
        <w:rPr/>
        <w:t>We request that a copy of this document be file-stamped and returned for our records.  A self-addressed, stamped envelope is enclosed for your convenience.</w:t>
      </w:r>
    </w:p>
    <w:p>
      <w:pPr>
        <w:pStyle w:val="LetterText"/>
        <w:rPr/>
      </w:pPr>
      <w:r>
        <w:rPr/>
        <w:t>Your courtesy in this matter is appreciated.</w:t>
      </w:r>
    </w:p>
    <w:p>
      <w:pPr>
        <w:pStyle w:val="Closing"/>
        <w:rPr/>
      </w:pPr>
      <w:r>
        <w:rPr/>
        <w:t>Very truly yours,</w:t>
      </w:r>
    </w:p>
    <w:p>
      <w:pPr>
        <w:pStyle w:val="zClosing"/>
        <w:rPr>
          <w:color w:val="0000FF"/>
          <w:lang w:val="en-CA"/>
        </w:rPr>
      </w:pPr>
      <w:r>
        <w:rPr>
          <w:color w:val="0000FF"/>
          <w:lang w:val="en-CA"/>
        </w:rPr>
        <w:t>Jennifer M. Tsao</w:t>
      </w:r>
    </w:p>
    <w:p>
      <w:pPr>
        <w:pStyle w:val="Normal"/>
        <w:spacing w:before="480" w:after="0"/>
        <w:rPr>
          <w:color w:val="0000FF"/>
          <w:sz w:val="16"/>
        </w:rPr>
      </w:pPr>
      <w:r>
        <w:rPr>
          <w:color w:val="0000FF"/>
          <w:sz w:val="16"/>
        </w:rPr>
        <w:t>JMT:scp:LW013040011</w:t>
      </w:r>
    </w:p>
    <w:p>
      <w:pPr>
        <w:pStyle w:val="Enclosures"/>
        <w:rPr/>
      </w:pPr>
      <w:r>
        <w:rPr/>
        <w:t>Enclosures</w:t>
      </w:r>
    </w:p>
    <w:p>
      <w:pPr>
        <w:pStyle w:val="cc"/>
        <w:rPr/>
      </w:pPr>
      <w:r>
        <w:rPr/>
        <w:t>cc:</w:t>
        <w:tab/>
        <w:t>All Parties of Record</w:t>
      </w:r>
    </w:p>
    <w:p>
      <w:pPr>
        <w:sectPr>
          <w:headerReference w:type="default" r:id="rId12"/>
          <w:headerReference w:type="first" r:id="rId13"/>
          <w:footerReference w:type="default" r:id="rId14"/>
          <w:footerReference w:type="first" r:id="rId15"/>
          <w:footnotePr>
            <w:numFmt w:val="decimal"/>
          </w:footnotePr>
          <w:type w:val="nextPage"/>
          <w:pgSz w:w="12240" w:h="15840"/>
          <w:pgMar w:left="1440" w:right="1440" w:gutter="0" w:header="547" w:top="1440" w:footer="504" w:bottom="1440"/>
          <w:pgNumType w:fmt="decimal"/>
          <w:formProt w:val="false"/>
          <w:textDirection w:val="lrTb"/>
          <w:docGrid w:type="default" w:linePitch="360" w:charSpace="0"/>
        </w:sectPr>
        <w:pStyle w:val="Normal"/>
        <w:rPr/>
      </w:pPr>
      <w:r>
        <w:rPr/>
        <w:t>(U 338-E)</w:t>
      </w:r>
    </w:p>
    <w:p>
      <w:pPr>
        <w:pStyle w:val="Normal"/>
        <w:rPr/>
      </w:pPr>
      <w:r>
        <w:rPr/>
      </w:r>
    </w:p>
    <w:sectPr>
      <w:headerReference w:type="default" r:id="rId16"/>
      <w:headerReference w:type="first" r:id="rId17"/>
      <w:footerReference w:type="default" r:id="rId18"/>
      <w:footerReference w:type="first" r:id="rId19"/>
      <w:footnotePr>
        <w:numFmt w:val="decimal"/>
      </w:footnotePr>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NewCenturySchlbk">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Courier">
    <w:altName w:val="Courier New"/>
    <w:charset w:val="00" w:characterSet="windows-1252"/>
    <w:family w:val="modern"/>
    <w:pitch w:val="default"/>
  </w:font>
  <w:font w:name="Helvetica-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IF  "" ""</w:instrText>
    </w:r>
    <w:r>
      <w:rPr/>
      <w:fldChar w:fldCharType="separate"/>
    </w:r>
    <w:r>
      <w:rPr/>
    </w:r>
    <w:r>
      <w:rPr/>
      <w:fldChar w:fldCharType="end"/>
    </w:r>
    <w:r>
      <w:rPr/>
      <w:fldChar w:fldCharType="begin"/>
    </w:r>
    <w:r>
      <w:rPr/>
      <w:instrText xml:space="preserve"> FILENAME </w:instrText>
    </w:r>
    <w:r>
      <w:rPr/>
      <w:fldChar w:fldCharType="separate"/>
    </w:r>
    <w:r>
      <w:rPr/>
      <w:t>11_7_01_RAP_PHC_Statement.doc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left" w:pos="1620" w:leader="none"/>
        <w:tab w:val="left" w:pos="3780" w:leader="none"/>
        <w:tab w:val="left" w:pos="5040" w:leader="none"/>
        <w:tab w:val="left" w:pos="6300" w:leader="none"/>
        <w:tab w:val="left" w:pos="7650" w:leader="none"/>
      </w:tabs>
      <w:rPr/>
    </w:pPr>
    <w:r>
      <w:rPr/>
      <w:fldChar w:fldCharType="begin"/>
    </w:r>
    <w:r>
      <w:rPr/>
      <w:instrText xml:space="preserve"> IF  "" ""</w:instrText>
    </w:r>
    <w:r>
      <w:rPr/>
      <w:fldChar w:fldCharType="separate"/>
    </w:r>
    <w:r>
      <w:rPr/>
    </w:r>
    <w:r>
      <w:rPr/>
      <w:fldChar w:fldCharType="end"/>
    </w:r>
    <w:r>
      <w:rPr/>
      <w:fldChar w:fldCharType="begin"/>
    </w:r>
    <w:r>
      <w:rPr/>
      <w:instrText xml:space="preserve"> FILENAME </w:instrText>
    </w:r>
    <w:r>
      <w:rPr/>
      <w:fldChar w:fldCharType="separate"/>
    </w:r>
    <w:r>
      <w:rPr/>
      <w:t>11_7_01_RAP_PHC_Statement.doc</w:t>
    </w:r>
    <w:r>
      <w:rPr/>
      <w:fldChar w:fldCharType="end"/>
    </w:r>
    <w:r>
      <w:rPr/>
      <w:tab/>
      <w:tab/>
      <w:t xml:space="preserve">- </w:t>
    </w:r>
    <w:r>
      <w:rPr/>
      <w:fldChar w:fldCharType="begin"/>
    </w:r>
    <w:r>
      <w:rPr/>
      <w:instrText xml:space="preserve"> PAGE </w:instrText>
    </w:r>
    <w:r>
      <w:rPr/>
      <w:fldChar w:fldCharType="separate"/>
    </w:r>
    <w:r>
      <w:rPr/>
      <w:t>10</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IF  "" ""</w:instrText>
    </w:r>
    <w:r>
      <w:rPr/>
      <w:fldChar w:fldCharType="separate"/>
    </w:r>
    <w:r>
      <w:rPr/>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 xml:space="preserve">P.O. Box </w:t>
    </w:r>
    <w:bookmarkStart w:id="16" w:name="zPOBox"/>
    <w:bookmarkEnd w:id="16"/>
    <w:r>
      <w:rPr>
        <w:sz w:val="16"/>
      </w:rPr>
      <w:t>800     2244 Walnut Grove Ave.     Rosemead, California 91770</w:t>
      <w:tab/>
    </w:r>
    <w:bookmarkStart w:id="17" w:name="zPhoneNumber"/>
    <w:bookmarkEnd w:id="17"/>
    <w:r>
      <w:rPr>
        <w:sz w:val="16"/>
      </w:rPr>
      <w:t xml:space="preserve">(626) 302-6819     Fax </w:t>
    </w:r>
    <w:bookmarkStart w:id="18" w:name="zFaxNumber"/>
    <w:bookmarkEnd w:id="18"/>
    <w:r>
      <w:rPr>
        <w:sz w:val="16"/>
      </w:rPr>
      <w:t xml:space="preserve">(626) 302-2050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start="0" w:end="0"/>
      <w:rPr>
        <w:sz w:val="16"/>
      </w:rPr>
    </w:pPr>
    <w:r>
      <w:rPr>
        <w:sz w:val="16"/>
      </w:rPr>
      <w:fldChar w:fldCharType="begin"/>
    </w:r>
    <w:r>
      <w:rPr>
        <w:sz w:val="16"/>
      </w:rPr>
      <w:instrText xml:space="preserve"> IF  "" ""</w:instrText>
    </w:r>
    <w:r>
      <w:rPr>
        <w:sz w:val="16"/>
      </w:rPr>
      <w:fldChar w:fldCharType="separate"/>
    </w:r>
    <w:r>
      <w:rPr>
        <w:sz w:val="16"/>
      </w:rPr>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 xml:space="preserve">Direct Access customers are billed as if they were bundled service customers and then are provided a credit equal to SCE’s avoided generation costs that was based on SCE’s costs of buying energy from the PX/ISO markets for bundled service customers.  </w:t>
      </w:r>
    </w:p>
  </w:footnote>
  <w:footnote w:id="3">
    <w:p>
      <w:pPr>
        <w:pStyle w:val="FootnoteText"/>
        <w:rPr/>
      </w:pPr>
      <w:r>
        <w:rPr>
          <w:rStyle w:val="FootnoteCharacters"/>
        </w:rPr>
        <w:footnoteRef/>
      </w:r>
      <w:r>
        <w:rPr/>
        <w:t xml:space="preserve"> </w:t>
      </w:r>
      <w:r>
        <w:rPr/>
        <w:tab/>
        <w:t>SCE filed its Petition for Expedited Modification of D.99-06-058 seeking Commission authorization of the suspension of payment of PX energy credits on January 25, 2001, in this proceeding.</w:t>
      </w:r>
    </w:p>
  </w:footnote>
  <w:footnote w:id="4">
    <w:p>
      <w:pPr>
        <w:pStyle w:val="FootnoteText"/>
        <w:rPr/>
      </w:pPr>
      <w:r>
        <w:rPr>
          <w:rStyle w:val="FootnoteCharacters"/>
        </w:rPr>
        <w:footnoteRef/>
      </w:r>
      <w:r>
        <w:rPr/>
        <w:t xml:space="preserve"> </w:t>
      </w:r>
      <w:r>
        <w:rPr/>
        <w:tab/>
        <w:t xml:space="preserve">It should be noted that bundled service customers will continue to pay their share of this undercollection through their bundled utility bills.  </w:t>
      </w:r>
    </w:p>
  </w:footnote>
  <w:footnote w:id="5">
    <w:p>
      <w:pPr>
        <w:pStyle w:val="FootnoteText"/>
        <w:rPr/>
      </w:pPr>
      <w:r>
        <w:rPr>
          <w:rStyle w:val="FootnoteCharacters"/>
        </w:rPr>
        <w:footnoteRef/>
      </w:r>
      <w:r>
        <w:rPr/>
        <w:t xml:space="preserve"> </w:t>
      </w:r>
      <w:r>
        <w:rPr/>
        <w:tab/>
        <w:t>SCE will make the actual payments after it has secured bridge financing to pay all of its outstanding debts.  SCE expects this to occur during the first quarter of 2002.</w:t>
      </w:r>
    </w:p>
  </w:footnote>
  <w:footnote w:id="6">
    <w:p>
      <w:pPr>
        <w:pStyle w:val="FootnoteText"/>
        <w:rPr/>
      </w:pPr>
      <w:r>
        <w:rPr>
          <w:rStyle w:val="FootnoteCharacters"/>
        </w:rPr>
        <w:footnoteRef/>
      </w:r>
      <w:r>
        <w:rPr/>
        <w:t xml:space="preserve"> </w:t>
      </w:r>
      <w:r>
        <w:rPr/>
        <w:tab/>
        <w:t xml:space="preserve">The Commission in D. 01-01-061 actually required SCE to withdraw this advice letter for reasons unrelated to the Direct Access credit issue.  </w:t>
      </w:r>
    </w:p>
  </w:footnote>
  <w:footnote w:id="7">
    <w:p>
      <w:pPr>
        <w:pStyle w:val="FootnoteText"/>
        <w:rPr/>
      </w:pPr>
      <w:r>
        <w:rPr>
          <w:rStyle w:val="FootnoteCharacters"/>
        </w:rPr>
        <w:footnoteRef/>
      </w:r>
      <w:r>
        <w:rPr/>
        <w:t xml:space="preserve"> </w:t>
      </w:r>
      <w:r>
        <w:rPr/>
        <w:tab/>
        <w:t>Procurement Related Obligation Account to be established pursuant to the Settlement Agreement between the Commission and SCE.</w:t>
      </w:r>
    </w:p>
  </w:footnote>
  <w:footnote w:id="8">
    <w:p>
      <w:pPr>
        <w:pStyle w:val="FootnoteText"/>
        <w:rPr/>
      </w:pPr>
      <w:r>
        <w:rPr>
          <w:rStyle w:val="FootnoteCharacters"/>
        </w:rPr>
        <w:footnoteRef/>
      </w:r>
      <w:r>
        <w:rPr/>
        <w:t xml:space="preserve"> </w:t>
      </w:r>
      <w:r>
        <w:rPr/>
        <w:tab/>
        <w:t>SCE hopes to complete the PROACT amortization by the end of 2003.</w:t>
      </w:r>
    </w:p>
  </w:footnote>
  <w:footnote w:id="9">
    <w:p>
      <w:pPr>
        <w:pStyle w:val="FootnoteText"/>
        <w:rPr/>
      </w:pPr>
      <w:r>
        <w:rPr>
          <w:rStyle w:val="FootnoteCharacters"/>
        </w:rPr>
        <w:footnoteRef/>
      </w:r>
      <w:r>
        <w:rPr/>
        <w:t xml:space="preserve"> </w:t>
      </w:r>
      <w:r>
        <w:rPr/>
        <w:tab/>
        <w:t xml:space="preserve">To calculate a charge for direct access customers the amortization amount will be divided by kWhs SCE will distribute to all customers and not direct access or bundled service sales alone. </w:t>
      </w:r>
    </w:p>
  </w:footnote>
  <w:footnote w:id="10">
    <w:p>
      <w:pPr>
        <w:pStyle w:val="FootnoteText"/>
        <w:rPr/>
      </w:pPr>
      <w:r>
        <w:rPr>
          <w:rStyle w:val="FootnoteCharacters"/>
        </w:rPr>
        <w:footnoteRef/>
      </w:r>
      <w:r>
        <w:rPr/>
        <w:t xml:space="preserve"> </w:t>
      </w:r>
      <w:r>
        <w:rPr/>
        <w:tab/>
        <w:t>There may also be other charges to Direct Access customers that will be subtracted from the generation rate before it is credited to the Direct Access customers related to “stranded” DWR contract costs, past procurement costs incurred by DWR to buy energy for current Direct Access customers who received DWR-procured energy during the early part of this year as bundled service customers, and SCE’s ongoing transition costs related to long-term QF contract and employee-related transition costs.  These charges are discussed in Section IID, below.</w:t>
      </w:r>
    </w:p>
  </w:footnote>
  <w:footnote w:id="11">
    <w:p>
      <w:pPr>
        <w:pStyle w:val="FootnoteText"/>
        <w:rPr/>
      </w:pPr>
      <w:r>
        <w:rPr>
          <w:rStyle w:val="FootnoteCharacters"/>
        </w:rPr>
        <w:footnoteRef/>
      </w:r>
      <w:r>
        <w:rPr/>
        <w:t xml:space="preserve"> </w:t>
      </w:r>
      <w:r>
        <w:rPr/>
        <w:tab/>
        <w:t>FERC refunds of PX energy costs impact the PX Credit level for the period prior to January 19, 2001.</w:t>
      </w:r>
    </w:p>
  </w:footnote>
  <w:footnote w:id="12">
    <w:p>
      <w:pPr>
        <w:pStyle w:val="FootnoteText"/>
        <w:rPr/>
      </w:pPr>
      <w:r>
        <w:rPr>
          <w:rStyle w:val="FootnoteCharacters"/>
        </w:rPr>
        <w:footnoteRef/>
      </w:r>
      <w:r>
        <w:rPr/>
        <w:t xml:space="preserve"> </w:t>
      </w:r>
      <w:r>
        <w:rPr/>
        <w:tab/>
        <w:t>Joint Petition of Southern California Edison Company, Pacific Gas &amp; Electric Company and San Diego Gas &amp; Electric Company to Modify Decision 99-06-058, dated July 10, 2001.</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napToGrid w:val="false"/>
            <w:spacing w:before="120" w:after="0"/>
            <w:rPr/>
          </w:pPr>
          <w:r>
            <w:rPr/>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Title"/>
            <w:snapToGrid w:val="false"/>
            <w:rPr>
              <w:rFonts w:ascii="Times New Roman" w:hAnsi="Times New Roman" w:cs="Times New Roman"/>
              <w:smallCaps/>
              <w:color w:val="808080"/>
              <w:spacing w:val="10"/>
              <w:sz w:val="16"/>
            </w:rPr>
          </w:pPr>
          <w:r>
            <w:rPr>
              <w:rFonts w:cs="Times New Roman"/>
              <w:smallCaps/>
              <w:color w:val="808080"/>
              <w:spacing w:val="10"/>
              <w:sz w:val="16"/>
            </w:rPr>
          </w:r>
        </w:p>
      </w:tc>
    </w:tr>
  </w:tbl>
  <w:p>
    <w:pPr>
      <w:pStyle w:val="Normal"/>
      <w:tabs>
        <w:tab w:val="clear" w:pos="720"/>
        <w:tab w:val="center" w:pos="4320" w:leader="none"/>
        <w:tab w:val="center" w:pos="8640" w:leader="none"/>
      </w:tabs>
      <w:rPr>
        <w:u w:val="single"/>
      </w:rPr>
    </w:pPr>
    <w:r>
      <w:rPr>
        <w:u w:val="sing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1160" w:type="dxa"/>
      <w:jc w:val="start"/>
      <w:tblInd w:w="-792" w:type="dxa"/>
      <w:tblLayout w:type="fixed"/>
      <w:tblCellMar>
        <w:top w:w="0" w:type="dxa"/>
        <w:start w:w="108" w:type="dxa"/>
        <w:bottom w:w="0" w:type="dxa"/>
        <w:end w:w="108" w:type="dxa"/>
      </w:tblCellMar>
    </w:tblPr>
    <w:tblGrid>
      <w:gridCol w:w="3533"/>
      <w:gridCol w:w="4269"/>
      <w:gridCol w:w="3358"/>
    </w:tblGrid>
    <w:tr>
      <w:trPr/>
      <w:tc>
        <w:tcPr>
          <w:tcW w:w="3533" w:type="dxa"/>
          <w:tcBorders/>
        </w:tcPr>
        <w:p>
          <w:pPr>
            <w:pStyle w:val="zHeaderLogo"/>
            <w:spacing w:before="120" w:after="0"/>
            <w:rPr>
              <w:smallCaps/>
            </w:rPr>
          </w:pPr>
          <w:bookmarkStart w:id="12" w:name="zHeaderLogo"/>
          <w:bookmarkEnd w:id="12"/>
          <w:r>
            <w:rPr>
              <w:smallCaps/>
            </w:rPr>
            <w:drawing>
              <wp:inline distT="0" distB="0" distL="0" distR="0">
                <wp:extent cx="1651000" cy="6223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22" t="-58" r="-22" b="-58"/>
                        <a:stretch>
                          <a:fillRect/>
                        </a:stretch>
                      </pic:blipFill>
                      <pic:spPr bwMode="auto">
                        <a:xfrm>
                          <a:off x="0" y="0"/>
                          <a:ext cx="1651000" cy="622300"/>
                        </a:xfrm>
                        <a:prstGeom prst="rect">
                          <a:avLst/>
                        </a:prstGeom>
                        <a:noFill/>
                      </pic:spPr>
                    </pic:pic>
                  </a:graphicData>
                </a:graphic>
              </wp:inline>
            </w:drawing>
          </w:r>
        </w:p>
      </w:tc>
      <w:tc>
        <w:tcPr>
          <w:tcW w:w="4269" w:type="dxa"/>
          <w:tcBorders/>
        </w:tcPr>
        <w:p>
          <w:pPr>
            <w:pStyle w:val="Normal"/>
            <w:snapToGrid w:val="false"/>
            <w:spacing w:before="120" w:after="0"/>
            <w:jc w:val="center"/>
            <w:rPr>
              <w:rFonts w:ascii="Times New Roman" w:hAnsi="Times New Roman" w:cs="Times New Roman"/>
              <w:smallCaps/>
              <w:color w:val="808080"/>
              <w:spacing w:val="10"/>
              <w:sz w:val="16"/>
            </w:rPr>
          </w:pPr>
          <w:r>
            <w:rPr>
              <w:rFonts w:cs="Times New Roman" w:ascii="Times New Roman" w:hAnsi="Times New Roman"/>
              <w:smallCaps/>
              <w:color w:val="808080"/>
              <w:spacing w:val="10"/>
              <w:sz w:val="16"/>
            </w:rPr>
          </w:r>
        </w:p>
      </w:tc>
      <w:tc>
        <w:tcPr>
          <w:tcW w:w="3358" w:type="dxa"/>
          <w:tcBorders/>
        </w:tcPr>
        <w:p>
          <w:pPr>
            <w:pStyle w:val="zHeaderAuthorName"/>
            <w:spacing w:before="240" w:after="29"/>
            <w:ind w:hanging="0" w:start="720" w:end="0"/>
            <w:rPr/>
          </w:pPr>
          <w:bookmarkStart w:id="13" w:name="zHeaderAuthorName"/>
          <w:bookmarkEnd w:id="13"/>
          <w:r>
            <w:rPr/>
            <w:t>Jennifer M. Tsao</w:t>
          </w:r>
        </w:p>
        <w:p>
          <w:pPr>
            <w:pStyle w:val="zHeaderAuthorTitle"/>
            <w:rPr/>
          </w:pPr>
          <w:bookmarkStart w:id="14" w:name="zHeaderAuthorTitle"/>
          <w:bookmarkEnd w:id="14"/>
          <w:r>
            <w:rPr/>
            <w:t>Senior Attorney</w:t>
          </w:r>
        </w:p>
        <w:p>
          <w:pPr>
            <w:pStyle w:val="zHeaderAuthorTitle"/>
            <w:rPr/>
          </w:pPr>
          <w:bookmarkStart w:id="15" w:name="zHeaderAuthorEmail"/>
          <w:bookmarkEnd w:id="15"/>
          <w:r>
            <w:rPr/>
            <w:t>jennifer.tsao@sce.com</w:t>
          </w:r>
        </w:p>
      </w:tc>
    </w:tr>
  </w:tbl>
  <w:p>
    <w:pPr>
      <w:pStyle w:val="Normal"/>
      <w:rPr/>
    </w:pPr>
    <w:r>
      <w:rPr/>
    </w:r>
  </w:p>
  <w:p>
    <w:pPr>
      <w:pStyle w:val="Normal"/>
      <w:tabs>
        <w:tab w:val="clear" w:pos="720"/>
        <w:tab w:val="center" w:pos="4320" w:leader="none"/>
        <w:tab w:val="center" w:pos="8640" w:leader="none"/>
      </w:tabs>
      <w:rPr>
        <w:u w:val="single"/>
      </w:rPr>
    </w:pPr>
    <w:r>
      <w:rPr>
        <w:u w:val="single"/>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320" w:leader="none"/>
        <w:tab w:val="center" w:pos="8640" w:leader="none"/>
      </w:tabs>
      <w:rPr>
        <w:u w:val="single"/>
      </w:rPr>
    </w:pPr>
    <w:r>
      <w:rPr>
        <w:u w:val="single"/>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0"/>
        </w:tabs>
        <w:ind w:start="0" w:hanging="0"/>
      </w:pPr>
      <w:rPr>
        <w:u w:val="none"/>
        <w:color w:val="0000FF"/>
      </w:rPr>
    </w:lvl>
    <w:lvl w:ilvl="1">
      <w:start w:val="1"/>
      <w:pStyle w:val="Heading2"/>
      <w:numFmt w:val="upperLetter"/>
      <w:lvlText w:val="%2."/>
      <w:lvlJc w:val="start"/>
      <w:pPr>
        <w:tabs>
          <w:tab w:val="num" w:pos="720"/>
        </w:tabs>
        <w:ind w:start="720" w:hanging="720"/>
      </w:pPr>
      <w:rPr>
        <w:u w:val="none"/>
        <w:color w:val="0000FF"/>
      </w:rPr>
    </w:lvl>
    <w:lvl w:ilvl="2">
      <w:start w:val="1"/>
      <w:pStyle w:val="Heading3"/>
      <w:numFmt w:val="decimal"/>
      <w:lvlText w:val="%3."/>
      <w:lvlJc w:val="start"/>
      <w:pPr>
        <w:tabs>
          <w:tab w:val="num" w:pos="720"/>
        </w:tabs>
        <w:ind w:start="1440" w:hanging="720"/>
      </w:pPr>
      <w:rPr>
        <w:u w:val="none"/>
        <w:color w:val="0000FF"/>
      </w:rPr>
    </w:lvl>
    <w:lvl w:ilvl="3">
      <w:start w:val="1"/>
      <w:pStyle w:val="Heading4"/>
      <w:numFmt w:val="lowerLetter"/>
      <w:lvlText w:val="%4)"/>
      <w:lvlJc w:val="start"/>
      <w:pPr>
        <w:tabs>
          <w:tab w:val="num" w:pos="720"/>
        </w:tabs>
        <w:ind w:start="2160" w:hanging="720"/>
      </w:pPr>
      <w:rPr>
        <w:u w:val="none"/>
        <w:color w:val="0000FF"/>
      </w:rPr>
    </w:lvl>
    <w:lvl w:ilvl="4">
      <w:start w:val="1"/>
      <w:pStyle w:val="Heading5"/>
      <w:numFmt w:val="decimal"/>
      <w:lvlText w:val="(%5)"/>
      <w:lvlJc w:val="start"/>
      <w:pPr>
        <w:tabs>
          <w:tab w:val="num" w:pos="720"/>
        </w:tabs>
        <w:ind w:start="2880" w:hanging="720"/>
      </w:pPr>
      <w:rPr>
        <w:u w:val="none"/>
        <w:color w:val="0000FF"/>
      </w:rPr>
    </w:lvl>
    <w:lvl w:ilvl="5">
      <w:start w:val="1"/>
      <w:pStyle w:val="Heading6"/>
      <w:numFmt w:val="lowerLetter"/>
      <w:lvlText w:val="(%6)"/>
      <w:lvlJc w:val="start"/>
      <w:pPr>
        <w:tabs>
          <w:tab w:val="num" w:pos="720"/>
        </w:tabs>
        <w:ind w:start="3600" w:hanging="720"/>
      </w:pPr>
      <w:rPr>
        <w:u w:val="none"/>
        <w:color w:val="0000FF"/>
      </w:rPr>
    </w:lvl>
    <w:lvl w:ilvl="6">
      <w:start w:val="1"/>
      <w:pStyle w:val="Heading7"/>
      <w:numFmt w:val="lowerRoman"/>
      <w:lvlText w:val="(%7)"/>
      <w:lvlJc w:val="start"/>
      <w:pPr>
        <w:tabs>
          <w:tab w:val="num" w:pos="720"/>
        </w:tabs>
        <w:ind w:start="4320" w:hanging="720"/>
      </w:pPr>
      <w:rPr>
        <w:u w:val="none"/>
        <w:color w:val="0000FF"/>
      </w:rPr>
    </w:lvl>
    <w:lvl w:ilvl="7">
      <w:start w:val="1"/>
      <w:pStyle w:val="Heading8"/>
      <w:numFmt w:val="lowerLetter"/>
      <w:lvlText w:val="(%8)"/>
      <w:lvlJc w:val="start"/>
      <w:pPr>
        <w:tabs>
          <w:tab w:val="num" w:pos="720"/>
        </w:tabs>
        <w:ind w:start="5040" w:hanging="720"/>
      </w:pPr>
      <w:rPr>
        <w:u w:val="none"/>
        <w:color w:val="0000FF"/>
      </w:rPr>
    </w:lvl>
    <w:lvl w:ilvl="8">
      <w:start w:val="1"/>
      <w:pStyle w:val="Heading9"/>
      <w:numFmt w:val="lowerRoman"/>
      <w:lvlText w:val="(%9)"/>
      <w:lvlJc w:val="start"/>
      <w:pPr>
        <w:tabs>
          <w:tab w:val="num" w:pos="720"/>
        </w:tabs>
        <w:ind w:start="5760" w:hanging="720"/>
      </w:pPr>
      <w:rPr>
        <w:u w:val="none"/>
        <w:color w:val="0000FF"/>
      </w:rPr>
    </w:lvl>
  </w:abstractNum>
  <w:abstractNum w:abstractNumId="2">
    <w:lvl w:ilvl="0">
      <w:start w:val="1"/>
      <w:numFmt w:val="decimal"/>
      <w:lvlText w:val="%1."/>
      <w:lvlJc w:val="start"/>
      <w:pPr>
        <w:tabs>
          <w:tab w:val="num" w:pos="720"/>
        </w:tabs>
        <w:ind w:start="720" w:hanging="360"/>
      </w:p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NewCenturySchlbk" w:hAnsi="NewCenturySchlbk" w:eastAsia="Times New Roman" w:cs="NewCenturySchlbk"/>
      <w:color w:val="auto"/>
      <w:sz w:val="24"/>
      <w:szCs w:val="20"/>
      <w:lang w:val="en-US" w:eastAsia="zh-CN" w:bidi="hi-IN"/>
    </w:rPr>
  </w:style>
  <w:style w:type="paragraph" w:styleId="Heading1">
    <w:name w:val="heading 1"/>
    <w:basedOn w:val="Normal"/>
    <w:next w:val="Heading1Text"/>
    <w:qFormat/>
    <w:pPr>
      <w:keepNext w:val="true"/>
      <w:keepLines/>
      <w:numPr>
        <w:ilvl w:val="0"/>
        <w:numId w:val="1"/>
      </w:numPr>
      <w:spacing w:lineRule="exact" w:line="480" w:before="240" w:after="120"/>
      <w:jc w:val="center"/>
      <w:outlineLvl w:val="0"/>
    </w:pPr>
    <w:rPr>
      <w:b/>
      <w:caps/>
      <w:u w:val="single"/>
    </w:rPr>
  </w:style>
  <w:style w:type="paragraph" w:styleId="Heading2">
    <w:name w:val="heading 2"/>
    <w:basedOn w:val="Heading1"/>
    <w:next w:val="Heading2Text"/>
    <w:qFormat/>
    <w:pPr>
      <w:numPr>
        <w:ilvl w:val="1"/>
        <w:numId w:val="1"/>
      </w:numPr>
      <w:jc w:val="start"/>
      <w:outlineLvl w:val="1"/>
    </w:pPr>
    <w:rPr>
      <w:caps w:val="false"/>
      <w:smallCaps w:val="false"/>
    </w:rPr>
  </w:style>
  <w:style w:type="paragraph" w:styleId="Heading3">
    <w:name w:val="heading 3"/>
    <w:basedOn w:val="Heading2"/>
    <w:next w:val="Heading3Text"/>
    <w:qFormat/>
    <w:pPr>
      <w:numPr>
        <w:ilvl w:val="2"/>
        <w:numId w:val="1"/>
      </w:numPr>
      <w:outlineLvl w:val="2"/>
    </w:pPr>
    <w:rPr/>
  </w:style>
  <w:style w:type="paragraph" w:styleId="Heading4">
    <w:name w:val="heading 4"/>
    <w:basedOn w:val="Heading2"/>
    <w:next w:val="Heading4Text"/>
    <w:qFormat/>
    <w:pPr>
      <w:numPr>
        <w:ilvl w:val="3"/>
        <w:numId w:val="1"/>
      </w:numPr>
      <w:outlineLvl w:val="3"/>
    </w:pPr>
    <w:rPr/>
  </w:style>
  <w:style w:type="paragraph" w:styleId="Heading5">
    <w:name w:val="heading 5"/>
    <w:basedOn w:val="Heading2"/>
    <w:next w:val="Heading5Text"/>
    <w:qFormat/>
    <w:pPr>
      <w:numPr>
        <w:ilvl w:val="4"/>
        <w:numId w:val="1"/>
      </w:numPr>
      <w:outlineLvl w:val="4"/>
    </w:pPr>
    <w:rPr/>
  </w:style>
  <w:style w:type="paragraph" w:styleId="Heading6">
    <w:name w:val="heading 6"/>
    <w:basedOn w:val="Heading2"/>
    <w:next w:val="Heading6Text"/>
    <w:qFormat/>
    <w:pPr>
      <w:numPr>
        <w:ilvl w:val="5"/>
        <w:numId w:val="1"/>
      </w:numPr>
      <w:outlineLvl w:val="5"/>
    </w:pPr>
    <w:rPr/>
  </w:style>
  <w:style w:type="paragraph" w:styleId="Heading7">
    <w:name w:val="heading 7"/>
    <w:basedOn w:val="Heading2"/>
    <w:next w:val="Heading7Text"/>
    <w:qFormat/>
    <w:pPr>
      <w:numPr>
        <w:ilvl w:val="6"/>
        <w:numId w:val="1"/>
      </w:numPr>
      <w:outlineLvl w:val="6"/>
    </w:pPr>
    <w:rPr/>
  </w:style>
  <w:style w:type="paragraph" w:styleId="Heading8">
    <w:name w:val="heading 8"/>
    <w:basedOn w:val="Heading2"/>
    <w:next w:val="Heading8Text"/>
    <w:qFormat/>
    <w:pPr>
      <w:numPr>
        <w:ilvl w:val="7"/>
        <w:numId w:val="1"/>
      </w:numPr>
      <w:outlineLvl w:val="7"/>
    </w:pPr>
    <w:rPr/>
  </w:style>
  <w:style w:type="paragraph" w:styleId="Heading9">
    <w:name w:val="heading 9"/>
    <w:basedOn w:val="Heading2"/>
    <w:next w:val="Heading9Text"/>
    <w:qFormat/>
    <w:pPr>
      <w:numPr>
        <w:ilvl w:val="8"/>
        <w:numId w:val="1"/>
      </w:numPr>
      <w:tabs>
        <w:tab w:val="clear" w:pos="720"/>
        <w:tab w:val="left" w:pos="360" w:leader="none"/>
      </w:tabs>
      <w:outlineLvl w:val="8"/>
    </w:pPr>
    <w:rPr/>
  </w:style>
  <w:style w:type="character" w:styleId="WW8Num1z0">
    <w:name w:val="WW8Num1z0"/>
    <w:qFormat/>
    <w:rPr>
      <w:color w:val="0000FF"/>
      <w:u w:val="none"/>
    </w:rPr>
  </w:style>
  <w:style w:type="character" w:styleId="DefaultParagraphFont">
    <w:name w:val="Default Paragraph Font"/>
    <w:qFormat/>
    <w:rPr/>
  </w:style>
  <w:style w:type="character" w:styleId="CommentReference">
    <w:name w:val="Comment Reference"/>
    <w:basedOn w:val="DefaultParagraphFont"/>
    <w:qFormat/>
    <w:rPr>
      <w:color w:val="0000FF"/>
      <w:u w:val="double"/>
    </w:rPr>
  </w:style>
  <w:style w:type="character" w:styleId="LineNumber">
    <w:name w:val="line number"/>
    <w:basedOn w:val="DefaultParagraphFont"/>
    <w:rPr/>
  </w:style>
  <w:style w:type="character" w:styleId="FootnoteCharacters">
    <w:name w:val="Footnote Characters"/>
    <w:basedOn w:val="DefaultParagraphFont"/>
    <w:qFormat/>
    <w:rPr>
      <w:color w:val="FF0000"/>
      <w:sz w:val="16"/>
      <w:u w:val="single"/>
      <w:vertAlign w:val="superscript"/>
    </w:rPr>
  </w:style>
  <w:style w:type="character" w:styleId="zDocDate">
    <w:name w:val="zDocDate"/>
    <w:basedOn w:val="DefaultParagraphFont"/>
    <w:qFormat/>
    <w:rPr>
      <w:rFonts w:ascii="NewCenturySchlbk" w:hAnsi="NewCenturySchlbk" w:cs="NewCenturySchlbk"/>
      <w:color w:val="0000FF"/>
      <w:sz w:val="24"/>
      <w:u w:val="non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1Text">
    <w:name w:val="Heading 1 Text"/>
    <w:basedOn w:val="Normal"/>
    <w:qFormat/>
    <w:pPr>
      <w:spacing w:lineRule="atLeast" w:line="480"/>
      <w:ind w:firstLine="720" w:start="0" w:end="0"/>
    </w:pPr>
    <w:rPr/>
  </w:style>
  <w:style w:type="paragraph" w:styleId="Heading2Text">
    <w:name w:val="Heading 2 Text"/>
    <w:basedOn w:val="Heading1Text"/>
    <w:qFormat/>
    <w:pPr/>
    <w:rPr/>
  </w:style>
  <w:style w:type="paragraph" w:styleId="Heading3Text">
    <w:name w:val="Heading 3 Text"/>
    <w:basedOn w:val="Heading2Text"/>
    <w:qFormat/>
    <w:pPr>
      <w:ind w:firstLine="720" w:start="720" w:end="0"/>
    </w:pPr>
    <w:rPr/>
  </w:style>
  <w:style w:type="paragraph" w:styleId="Heading4Text">
    <w:name w:val="Heading 4 Text"/>
    <w:basedOn w:val="Heading2Text"/>
    <w:qFormat/>
    <w:pPr>
      <w:ind w:firstLine="720" w:start="1440" w:end="0"/>
    </w:pPr>
    <w:rPr/>
  </w:style>
  <w:style w:type="paragraph" w:styleId="Heading5Text">
    <w:name w:val="Heading 5 Text"/>
    <w:basedOn w:val="Heading2Text"/>
    <w:qFormat/>
    <w:pPr>
      <w:ind w:firstLine="720" w:start="2160" w:end="0"/>
    </w:pPr>
    <w:rPr/>
  </w:style>
  <w:style w:type="paragraph" w:styleId="Heading6Text">
    <w:name w:val="Heading 6 Text"/>
    <w:basedOn w:val="Heading2Text"/>
    <w:qFormat/>
    <w:pPr>
      <w:ind w:firstLine="720" w:start="2880" w:end="0"/>
    </w:pPr>
    <w:rPr/>
  </w:style>
  <w:style w:type="paragraph" w:styleId="Heading7Text">
    <w:name w:val="Heading 7 Text"/>
    <w:basedOn w:val="Heading2Text"/>
    <w:qFormat/>
    <w:pPr>
      <w:ind w:firstLine="720" w:start="3600" w:end="0"/>
    </w:pPr>
    <w:rPr/>
  </w:style>
  <w:style w:type="paragraph" w:styleId="Heading8Text">
    <w:name w:val="Heading 8 Text"/>
    <w:basedOn w:val="Heading2Text"/>
    <w:qFormat/>
    <w:pPr>
      <w:ind w:firstLine="720" w:start="4320" w:end="0"/>
    </w:pPr>
    <w:rPr/>
  </w:style>
  <w:style w:type="paragraph" w:styleId="Heading9Text">
    <w:name w:val="Heading 9 Text"/>
    <w:basedOn w:val="Heading2Text"/>
    <w:qFormat/>
    <w:pPr>
      <w:ind w:firstLine="720" w:start="5040" w:end="0"/>
    </w:pPr>
    <w:rPr/>
  </w:style>
  <w:style w:type="paragraph" w:styleId="FootnoteText">
    <w:name w:val="footnote text"/>
    <w:basedOn w:val="Normal"/>
    <w:pPr>
      <w:tabs>
        <w:tab w:val="clear" w:pos="720"/>
        <w:tab w:val="left" w:pos="360" w:leader="none"/>
      </w:tabs>
      <w:ind w:hanging="360" w:start="360" w:end="0"/>
    </w:pPr>
    <w:rPr>
      <w:sz w:val="20"/>
    </w:rPr>
  </w:style>
  <w:style w:type="paragraph" w:styleId="CommentText">
    <w:name w:val="Comment Text"/>
    <w:basedOn w:val="FootnoteText"/>
    <w:qFormat/>
    <w:pPr>
      <w:ind w:firstLine="720" w:start="360" w:end="0"/>
    </w:pPr>
    <w:rPr>
      <w:color w:val="0000FF"/>
    </w:rPr>
  </w:style>
  <w:style w:type="paragraph" w:styleId="TOC1">
    <w:name w:val="toc 1"/>
    <w:basedOn w:val="Normal"/>
    <w:pPr>
      <w:tabs>
        <w:tab w:val="left" w:pos="720" w:leader="none"/>
        <w:tab w:val="right" w:pos="8640" w:leader="dot"/>
      </w:tabs>
      <w:spacing w:lineRule="atLeast" w:line="240" w:before="240" w:after="0"/>
      <w:ind w:hanging="720" w:start="720" w:end="1440"/>
    </w:pPr>
    <w:rPr>
      <w:caps/>
    </w:rPr>
  </w:style>
  <w:style w:type="paragraph" w:styleId="TOC7">
    <w:name w:val="toc 7"/>
    <w:basedOn w:val="TOC1"/>
    <w:next w:val="Normal"/>
    <w:pPr>
      <w:tabs>
        <w:tab w:val="clear" w:pos="720"/>
        <w:tab w:val="left" w:pos="5040" w:leader="none"/>
        <w:tab w:val="right" w:pos="8640" w:leader="dot"/>
      </w:tabs>
      <w:ind w:hanging="720" w:start="5040" w:end="1440"/>
    </w:pPr>
    <w:rPr>
      <w:caps w:val="false"/>
      <w:smallCaps w:val="false"/>
    </w:rPr>
  </w:style>
  <w:style w:type="paragraph" w:styleId="TOC6">
    <w:name w:val="toc 6"/>
    <w:basedOn w:val="TOC1"/>
    <w:next w:val="Normal"/>
    <w:pPr>
      <w:tabs>
        <w:tab w:val="clear" w:pos="720"/>
        <w:tab w:val="left" w:pos="4320" w:leader="none"/>
        <w:tab w:val="right" w:pos="8640" w:leader="dot"/>
      </w:tabs>
      <w:ind w:hanging="720" w:start="4320" w:end="1440"/>
    </w:pPr>
    <w:rPr>
      <w:caps w:val="false"/>
      <w:smallCaps w:val="false"/>
    </w:rPr>
  </w:style>
  <w:style w:type="paragraph" w:styleId="TOC5">
    <w:name w:val="toc 5"/>
    <w:basedOn w:val="TOC1"/>
    <w:next w:val="Normal"/>
    <w:pPr>
      <w:tabs>
        <w:tab w:val="clear" w:pos="720"/>
        <w:tab w:val="left" w:pos="3600" w:leader="none"/>
        <w:tab w:val="right" w:pos="8640" w:leader="dot"/>
      </w:tabs>
      <w:ind w:hanging="720" w:start="3600" w:end="1440"/>
    </w:pPr>
    <w:rPr>
      <w:caps w:val="false"/>
      <w:smallCaps w:val="false"/>
    </w:rPr>
  </w:style>
  <w:style w:type="paragraph" w:styleId="TOC4">
    <w:name w:val="toc 4"/>
    <w:basedOn w:val="TOC1"/>
    <w:next w:val="Normal"/>
    <w:pPr>
      <w:tabs>
        <w:tab w:val="clear" w:pos="720"/>
        <w:tab w:val="left" w:pos="2880" w:leader="none"/>
        <w:tab w:val="right" w:pos="8640" w:leader="dot"/>
      </w:tabs>
      <w:ind w:hanging="720" w:start="2880" w:end="1440"/>
    </w:pPr>
    <w:rPr>
      <w:caps w:val="false"/>
      <w:smallCaps w:val="false"/>
    </w:rPr>
  </w:style>
  <w:style w:type="paragraph" w:styleId="TOC3">
    <w:name w:val="toc 3"/>
    <w:basedOn w:val="TOC1"/>
    <w:next w:val="Normal"/>
    <w:pPr>
      <w:tabs>
        <w:tab w:val="clear" w:pos="720"/>
        <w:tab w:val="left" w:pos="2160" w:leader="none"/>
        <w:tab w:val="right" w:pos="8640" w:leader="dot"/>
      </w:tabs>
      <w:ind w:hanging="720" w:start="2160" w:end="1440"/>
    </w:pPr>
    <w:rPr>
      <w:caps w:val="false"/>
      <w:smallCaps w:val="false"/>
    </w:rPr>
  </w:style>
  <w:style w:type="paragraph" w:styleId="TOC2">
    <w:name w:val="toc 2"/>
    <w:basedOn w:val="TOC1"/>
    <w:next w:val="Normal"/>
    <w:pPr>
      <w:tabs>
        <w:tab w:val="clear" w:pos="720"/>
        <w:tab w:val="left" w:pos="1440" w:leader="none"/>
        <w:tab w:val="right" w:pos="8640" w:leader="dot"/>
      </w:tabs>
      <w:ind w:hanging="720" w:start="1440" w:end="1440"/>
    </w:pPr>
    <w:rPr>
      <w:caps w:val="false"/>
      <w:smallCaps w:val="false"/>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pPr>
      <w:tabs>
        <w:tab w:val="left" w:pos="720" w:leader="none"/>
        <w:tab w:val="right" w:pos="8640" w:leader="dot"/>
      </w:tabs>
      <w:spacing w:lineRule="exact" w:line="240"/>
      <w:ind w:hanging="0" w:start="360" w:end="1440"/>
    </w:pPr>
    <w:rPr/>
  </w:style>
  <w:style w:type="paragraph" w:styleId="Index2">
    <w:name w:val="index 2"/>
    <w:basedOn w:val="Normal"/>
    <w:pPr>
      <w:keepNext w:val="true"/>
      <w:keepLines/>
      <w:tabs>
        <w:tab w:val="clear" w:pos="720"/>
        <w:tab w:val="right" w:pos="8640" w:leader="dot"/>
      </w:tabs>
      <w:spacing w:lineRule="atLeast" w:line="240" w:before="120" w:after="0"/>
      <w:ind w:hanging="360" w:start="360" w:end="1440"/>
    </w:pPr>
    <w:rPr/>
  </w:style>
  <w:style w:type="paragraph" w:styleId="Index1">
    <w:name w:val="index 1"/>
    <w:basedOn w:val="Normal"/>
    <w:next w:val="Index2"/>
    <w:pPr>
      <w:keepNext w:val="true"/>
      <w:keepLines/>
      <w:spacing w:lineRule="atLeast" w:line="240" w:before="240" w:after="0"/>
      <w:jc w:val="center"/>
    </w:pPr>
    <w:rPr>
      <w:b/>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ind w:hanging="0" w:start="-720" w:end="0"/>
    </w:pPr>
    <w:rPr>
      <w:rFonts w:ascii="Times New Roman" w:hAnsi="Times New Roman" w:cs="Times New Roman"/>
      <w:sz w:val="12"/>
    </w:rPr>
  </w:style>
  <w:style w:type="paragraph" w:styleId="Footer">
    <w:name w:val="footer"/>
    <w:basedOn w:val="Header"/>
    <w:pPr>
      <w:tabs>
        <w:tab w:val="clear" w:pos="720"/>
        <w:tab w:val="left" w:pos="1620" w:leader="none"/>
        <w:tab w:val="left" w:pos="3780" w:leader="none"/>
        <w:tab w:val="left" w:pos="6300" w:leader="none"/>
        <w:tab w:val="left" w:pos="7650" w:leader="none"/>
      </w:tabs>
      <w:ind w:hanging="0" w:start="288" w:end="0"/>
    </w:pPr>
    <w:rPr>
      <w:rFonts w:ascii="Times New Roman" w:hAnsi="Times New Roman" w:cs="Times New Roman"/>
      <w:color w:val="808080"/>
      <w:spacing w:val="-1"/>
      <w:sz w:val="18"/>
    </w:rPr>
  </w:style>
  <w:style w:type="paragraph" w:styleId="NormalIndent">
    <w:name w:val="Normal Indent"/>
    <w:basedOn w:val="Normal"/>
    <w:qFormat/>
    <w:pPr>
      <w:ind w:firstLine="1440" w:start="0" w:end="0"/>
    </w:pPr>
    <w:rPr/>
  </w:style>
  <w:style w:type="paragraph" w:styleId="ListBullet">
    <w:name w:val="List Bullet"/>
    <w:basedOn w:val="Normal"/>
    <w:pPr>
      <w:ind w:hanging="720" w:start="720" w:end="0"/>
    </w:pPr>
    <w:rPr/>
  </w:style>
  <w:style w:type="paragraph" w:styleId="ListBullet5">
    <w:name w:val="List Bullet 5"/>
    <w:basedOn w:val="ListBullet"/>
    <w:pPr>
      <w:ind w:hanging="720" w:start="3600" w:end="0"/>
    </w:pPr>
    <w:rPr/>
  </w:style>
  <w:style w:type="paragraph" w:styleId="List7">
    <w:name w:val="List 7"/>
    <w:basedOn w:val="ListBullet"/>
    <w:qFormat/>
    <w:pPr>
      <w:ind w:hanging="720" w:start="5040" w:end="0"/>
    </w:pPr>
    <w:rPr/>
  </w:style>
  <w:style w:type="paragraph" w:styleId="List6">
    <w:name w:val="List 6"/>
    <w:basedOn w:val="ListBullet"/>
    <w:qFormat/>
    <w:pPr>
      <w:ind w:hanging="720" w:start="4320" w:end="0"/>
    </w:pPr>
    <w:rPr/>
  </w:style>
  <w:style w:type="paragraph" w:styleId="LetterText">
    <w:name w:val="Letter Text"/>
    <w:basedOn w:val="Normal"/>
    <w:qFormat/>
    <w:pPr>
      <w:spacing w:before="240" w:after="0"/>
      <w:ind w:firstLine="1440" w:start="0" w:end="0"/>
    </w:pPr>
    <w:rPr/>
  </w:style>
  <w:style w:type="paragraph" w:styleId="Interrogatory1">
    <w:name w:val="Interrogatory 1"/>
    <w:basedOn w:val="Normal"/>
    <w:next w:val="Interrogatory1Text"/>
    <w:qFormat/>
    <w:pPr>
      <w:keepNext w:val="true"/>
      <w:keepLines/>
      <w:spacing w:before="240" w:after="0"/>
    </w:pPr>
    <w:rPr>
      <w:b/>
      <w:u w:val="single"/>
    </w:rPr>
  </w:style>
  <w:style w:type="paragraph" w:styleId="Interrogatory1Text">
    <w:name w:val="Interrogatory 1 Text"/>
    <w:basedOn w:val="Normal"/>
    <w:qFormat/>
    <w:pPr>
      <w:spacing w:lineRule="exact" w:line="480"/>
      <w:ind w:firstLine="720" w:start="0" w:end="0"/>
    </w:pPr>
    <w:rPr/>
  </w:style>
  <w:style w:type="paragraph" w:styleId="ListBullet2">
    <w:name w:val="List Bullet 2"/>
    <w:basedOn w:val="ListBullet"/>
    <w:pPr>
      <w:ind w:hanging="720" w:start="1440" w:end="0"/>
    </w:pPr>
    <w:rPr/>
  </w:style>
  <w:style w:type="paragraph" w:styleId="ListBullet3">
    <w:name w:val="List Bullet 3"/>
    <w:basedOn w:val="ListBullet"/>
    <w:pPr>
      <w:ind w:hanging="720" w:start="2160" w:end="0"/>
    </w:pPr>
    <w:rPr/>
  </w:style>
  <w:style w:type="paragraph" w:styleId="ListBullet4">
    <w:name w:val="List Bullet 4"/>
    <w:basedOn w:val="ListBullet"/>
    <w:pPr>
      <w:ind w:hanging="720" w:start="2880" w:end="0"/>
    </w:pPr>
    <w:rPr/>
  </w:style>
  <w:style w:type="paragraph" w:styleId="Interrogatory2">
    <w:name w:val="Interrogatory 2"/>
    <w:basedOn w:val="Interrogatory1"/>
    <w:next w:val="Interrogatory2Text"/>
    <w:qFormat/>
    <w:pPr/>
    <w:rPr/>
  </w:style>
  <w:style w:type="paragraph" w:styleId="Interrogatory2Text">
    <w:name w:val="Interrogatory 2 Text"/>
    <w:basedOn w:val="Interrogatory1Text"/>
    <w:qFormat/>
    <w:pPr/>
    <w:rPr/>
  </w:style>
  <w:style w:type="paragraph" w:styleId="Interrogatory3">
    <w:name w:val="Interrogatory 3"/>
    <w:basedOn w:val="Interrogatory1"/>
    <w:next w:val="Interrogatory3Text"/>
    <w:qFormat/>
    <w:pPr/>
    <w:rPr/>
  </w:style>
  <w:style w:type="paragraph" w:styleId="Interrogatory3Text">
    <w:name w:val="Interrogatory 3 Text"/>
    <w:basedOn w:val="Interrogatory1Text"/>
    <w:qFormat/>
    <w:pPr/>
    <w:rPr/>
  </w:style>
  <w:style w:type="paragraph" w:styleId="Interrogatory4">
    <w:name w:val="Interrogatory 4"/>
    <w:basedOn w:val="Interrogatory1"/>
    <w:next w:val="Interrogatory4Text"/>
    <w:qFormat/>
    <w:pPr/>
    <w:rPr/>
  </w:style>
  <w:style w:type="paragraph" w:styleId="Interrogatory4Text">
    <w:name w:val="Interrogatory 4 Text"/>
    <w:basedOn w:val="Interrogatory1Text"/>
    <w:qFormat/>
    <w:pPr/>
    <w:rPr/>
  </w:style>
  <w:style w:type="paragraph" w:styleId="Interrogatory5">
    <w:name w:val="Interrogatory 5"/>
    <w:basedOn w:val="Interrogatory1"/>
    <w:next w:val="Interrogatory5Text"/>
    <w:qFormat/>
    <w:pPr/>
    <w:rPr/>
  </w:style>
  <w:style w:type="paragraph" w:styleId="Interrogatory5Text">
    <w:name w:val="Interrogatory 5 Text"/>
    <w:basedOn w:val="Interrogatory1Text"/>
    <w:qFormat/>
    <w:pPr/>
    <w:rPr/>
  </w:style>
  <w:style w:type="paragraph" w:styleId="Interrogatory6">
    <w:name w:val="Interrogatory 6"/>
    <w:basedOn w:val="Interrogatory1"/>
    <w:next w:val="Interrogatory6Text"/>
    <w:qFormat/>
    <w:pPr/>
    <w:rPr/>
  </w:style>
  <w:style w:type="paragraph" w:styleId="Interrogatory6Text">
    <w:name w:val="Interrogatory 6 Text"/>
    <w:basedOn w:val="Interrogatory1Text"/>
    <w:qFormat/>
    <w:pPr/>
    <w:rPr/>
  </w:style>
  <w:style w:type="paragraph" w:styleId="Interrogatory7">
    <w:name w:val="Interrogatory 7"/>
    <w:basedOn w:val="Interrogatory1"/>
    <w:next w:val="Interrogatory7Text"/>
    <w:qFormat/>
    <w:pPr/>
    <w:rPr/>
  </w:style>
  <w:style w:type="paragraph" w:styleId="Interrogatory7Text">
    <w:name w:val="Interrogatory 7 Text"/>
    <w:basedOn w:val="Interrogatory1Text"/>
    <w:qFormat/>
    <w:pPr/>
    <w:rPr/>
  </w:style>
  <w:style w:type="paragraph" w:styleId="Interrogatory8">
    <w:name w:val="Interrogatory 8"/>
    <w:basedOn w:val="Interrogatory1"/>
    <w:next w:val="Interrogatory8Text"/>
    <w:qFormat/>
    <w:pPr/>
    <w:rPr/>
  </w:style>
  <w:style w:type="paragraph" w:styleId="Interrogatory8Text">
    <w:name w:val="Interrogatory 8 Text"/>
    <w:basedOn w:val="Interrogatory1Text"/>
    <w:qFormat/>
    <w:pPr/>
    <w:rPr/>
  </w:style>
  <w:style w:type="paragraph" w:styleId="Quote1">
    <w:name w:val="Quote 1"/>
    <w:basedOn w:val="Normal"/>
    <w:qFormat/>
    <w:pPr>
      <w:spacing w:before="240" w:after="0"/>
      <w:ind w:hanging="0" w:start="1440" w:end="1440"/>
    </w:pPr>
    <w:rPr/>
  </w:style>
  <w:style w:type="paragraph" w:styleId="Quote2">
    <w:name w:val="Quote 2"/>
    <w:basedOn w:val="Quote1"/>
    <w:qFormat/>
    <w:pPr>
      <w:ind w:hanging="0" w:start="2160" w:end="2160"/>
    </w:pPr>
    <w:rPr/>
  </w:style>
  <w:style w:type="paragraph" w:styleId="Quote3">
    <w:name w:val="Quote 3"/>
    <w:basedOn w:val="Quote2"/>
    <w:qFormat/>
    <w:pPr>
      <w:ind w:hanging="0" w:start="2880" w:end="2880"/>
    </w:pPr>
    <w:rPr/>
  </w:style>
  <w:style w:type="paragraph" w:styleId="Quote4">
    <w:name w:val="Quote 4"/>
    <w:basedOn w:val="Quote2"/>
    <w:qFormat/>
    <w:pPr>
      <w:ind w:hanging="0" w:start="3600" w:end="3600"/>
    </w:pPr>
    <w:rPr/>
  </w:style>
  <w:style w:type="paragraph" w:styleId="Quote5">
    <w:name w:val="Quote 5"/>
    <w:basedOn w:val="Quote2"/>
    <w:qFormat/>
    <w:pPr>
      <w:ind w:hanging="0" w:start="4320" w:end="4320"/>
    </w:pPr>
    <w:rPr/>
  </w:style>
  <w:style w:type="paragraph" w:styleId="Quote6">
    <w:name w:val="Quote 6"/>
    <w:basedOn w:val="Quote2"/>
    <w:qFormat/>
    <w:pPr>
      <w:ind w:hanging="0" w:start="4320" w:end="4320"/>
    </w:pPr>
    <w:rPr/>
  </w:style>
  <w:style w:type="paragraph" w:styleId="Quote7">
    <w:name w:val="Quote 7"/>
    <w:basedOn w:val="Quote2"/>
    <w:qFormat/>
    <w:pPr>
      <w:ind w:hanging="0" w:start="4320" w:end="4320"/>
    </w:pPr>
    <w:rPr/>
  </w:style>
  <w:style w:type="paragraph" w:styleId="QuoteFootnote">
    <w:name w:val="Quote Footnote"/>
    <w:basedOn w:val="Normal"/>
    <w:qFormat/>
    <w:pPr>
      <w:spacing w:lineRule="atLeast" w:line="240"/>
      <w:ind w:hanging="0" w:start="1440" w:end="0"/>
    </w:pPr>
    <w:rPr/>
  </w:style>
  <w:style w:type="paragraph" w:styleId="MemoText">
    <w:name w:val="Memo Text"/>
    <w:basedOn w:val="Normal"/>
    <w:qFormat/>
    <w:pPr>
      <w:spacing w:before="240" w:after="0"/>
      <w:ind w:firstLine="1440" w:start="0" w:end="0"/>
    </w:pPr>
    <w:rPr/>
  </w:style>
  <w:style w:type="paragraph" w:styleId="BriefText">
    <w:name w:val="Brief Text"/>
    <w:basedOn w:val="Normal"/>
    <w:qFormat/>
    <w:pPr>
      <w:spacing w:lineRule="exact" w:line="480"/>
    </w:pPr>
    <w:rPr/>
  </w:style>
  <w:style w:type="paragraph" w:styleId="PleadingText">
    <w:name w:val="Pleading Text"/>
    <w:basedOn w:val="Normal"/>
    <w:qFormat/>
    <w:pPr>
      <w:spacing w:lineRule="exact" w:line="480"/>
    </w:pPr>
    <w:rPr/>
  </w:style>
  <w:style w:type="paragraph" w:styleId="Quote8">
    <w:name w:val="Quote 8"/>
    <w:basedOn w:val="Quote2"/>
    <w:qFormat/>
    <w:pPr>
      <w:ind w:hanging="0" w:start="4320" w:end="4320"/>
    </w:pPr>
    <w:rPr/>
  </w:style>
  <w:style w:type="paragraph" w:styleId="Quote9">
    <w:name w:val="Quote 9"/>
    <w:basedOn w:val="Quote2"/>
    <w:qFormat/>
    <w:pPr>
      <w:ind w:hanging="0" w:start="4320" w:end="4320"/>
    </w:pPr>
    <w:rPr/>
  </w:style>
  <w:style w:type="paragraph" w:styleId="PlainText">
    <w:name w:val="Plain Text"/>
    <w:basedOn w:val="Normal"/>
    <w:qFormat/>
    <w:pPr/>
    <w:rPr/>
  </w:style>
  <w:style w:type="paragraph" w:styleId="Date">
    <w:name w:val="Date"/>
    <w:basedOn w:val="Normal"/>
    <w:next w:val="Normal"/>
    <w:qFormat/>
    <w:pPr>
      <w:spacing w:lineRule="exact" w:line="480" w:before="480" w:after="0"/>
    </w:pPr>
    <w:rPr/>
  </w:style>
  <w:style w:type="paragraph" w:styleId="InsideAddress">
    <w:name w:val="Inside Address"/>
    <w:basedOn w:val="Normal"/>
    <w:qFormat/>
    <w:pPr>
      <w:spacing w:lineRule="exact" w:line="480"/>
    </w:pPr>
    <w:rPr>
      <w:color w:val="FF0000"/>
    </w:rPr>
  </w:style>
  <w:style w:type="paragraph" w:styleId="Salutation">
    <w:name w:val="Salutation"/>
    <w:basedOn w:val="Normal"/>
    <w:next w:val="Re"/>
    <w:qFormat/>
    <w:pPr>
      <w:spacing w:before="240" w:after="0"/>
    </w:pPr>
    <w:rPr/>
  </w:style>
  <w:style w:type="paragraph" w:styleId="Re">
    <w:name w:val="Re:"/>
    <w:basedOn w:val="Normal"/>
    <w:next w:val="Normal"/>
    <w:qFormat/>
    <w:pPr>
      <w:spacing w:before="240" w:after="0"/>
      <w:ind w:hanging="0" w:start="720" w:end="0"/>
    </w:pPr>
    <w:rPr>
      <w:caps/>
    </w:rPr>
  </w:style>
  <w:style w:type="paragraph" w:styleId="Closing">
    <w:name w:val="Closing"/>
    <w:basedOn w:val="Normal"/>
    <w:qFormat/>
    <w:pPr>
      <w:keepNext w:val="true"/>
      <w:spacing w:before="480" w:after="0"/>
      <w:ind w:hanging="0" w:start="3960" w:end="0"/>
    </w:pPr>
    <w:rPr/>
  </w:style>
  <w:style w:type="paragraph" w:styleId="Closing2">
    <w:name w:val="Closing2"/>
    <w:basedOn w:val="Closing"/>
    <w:qFormat/>
    <w:pPr>
      <w:tabs>
        <w:tab w:val="clear" w:pos="720"/>
        <w:tab w:val="left" w:pos="3960" w:leader="none"/>
        <w:tab w:val="right" w:pos="8640" w:leader="underscore"/>
      </w:tabs>
      <w:ind w:hanging="720" w:start="3960" w:end="0"/>
    </w:pPr>
    <w:rPr/>
  </w:style>
  <w:style w:type="paragraph" w:styleId="cc">
    <w:name w:val="cc:"/>
    <w:basedOn w:val="Normal"/>
    <w:next w:val="Normal"/>
    <w:qFormat/>
    <w:pPr>
      <w:spacing w:lineRule="atLeast" w:line="480" w:before="240" w:after="0"/>
      <w:ind w:hanging="446" w:start="446" w:end="0"/>
    </w:pPr>
    <w:rPr/>
  </w:style>
  <w:style w:type="paragraph" w:styleId="heading11">
    <w:name w:val="heading 1+"/>
    <w:basedOn w:val="Heading1"/>
    <w:qFormat/>
    <w:pPr>
      <w:numPr>
        <w:ilvl w:val="0"/>
        <w:numId w:val="0"/>
      </w:numPr>
      <w:spacing w:before="0" w:after="0"/>
      <w:ind w:hanging="0" w:start="0" w:end="0"/>
      <w:outlineLvl w:val="9"/>
    </w:pPr>
    <w:rPr>
      <w:caps w:val="false"/>
      <w:smallCaps w:val="false"/>
    </w:rPr>
  </w:style>
  <w:style w:type="paragraph" w:styleId="zCaption">
    <w:name w:val="zCaption"/>
    <w:basedOn w:val="Normal"/>
    <w:qFormat/>
    <w:pPr/>
    <w:rPr/>
  </w:style>
  <w:style w:type="paragraph" w:styleId="zAppNo">
    <w:name w:val="zAppNo"/>
    <w:basedOn w:val="Normal"/>
    <w:qFormat/>
    <w:pPr>
      <w:spacing w:lineRule="atLeast" w:line="240" w:before="240" w:after="0"/>
      <w:jc w:val="center"/>
    </w:pPr>
    <w:rPr/>
  </w:style>
  <w:style w:type="paragraph" w:styleId="header2">
    <w:name w:val="header2"/>
    <w:basedOn w:val="Normal"/>
    <w:qFormat/>
    <w:pPr>
      <w:tabs>
        <w:tab w:val="clear" w:pos="720"/>
        <w:tab w:val="center" w:pos="4320" w:leader="none"/>
        <w:tab w:val="center" w:pos="8640" w:leader="none"/>
      </w:tabs>
      <w:spacing w:lineRule="atLeast" w:line="240"/>
    </w:pPr>
    <w:rPr>
      <w:u w:val="single"/>
    </w:rPr>
  </w:style>
  <w:style w:type="paragraph" w:styleId="zAttorneyNames">
    <w:name w:val="zAttorney Names"/>
    <w:basedOn w:val="Normal"/>
    <w:qFormat/>
    <w:pPr>
      <w:keepNext w:val="true"/>
      <w:keepLines/>
      <w:ind w:hanging="0" w:start="3600" w:end="0"/>
    </w:pPr>
    <w:rPr>
      <w:color w:val="FF00FF"/>
    </w:rPr>
  </w:style>
  <w:style w:type="paragraph" w:styleId="zDate">
    <w:name w:val="zDate"/>
    <w:basedOn w:val="Normal"/>
    <w:qFormat/>
    <w:pPr>
      <w:spacing w:lineRule="exact" w:line="480" w:before="240" w:after="0"/>
    </w:pPr>
    <w:rPr>
      <w:color w:val="0000FF"/>
    </w:rPr>
  </w:style>
  <w:style w:type="paragraph" w:styleId="zTitle1">
    <w:name w:val="zTitle1"/>
    <w:basedOn w:val="Normal"/>
    <w:next w:val="Normal"/>
    <w:qFormat/>
    <w:pPr>
      <w:spacing w:lineRule="atLeast" w:line="240" w:before="240" w:after="576"/>
      <w:jc w:val="center"/>
    </w:pPr>
    <w:rPr>
      <w:b/>
      <w:i/>
      <w:color w:val="FF0000"/>
      <w:sz w:val="28"/>
    </w:rPr>
  </w:style>
  <w:style w:type="paragraph" w:styleId="zAttorney">
    <w:name w:val="zAttorney"/>
    <w:basedOn w:val="Normal"/>
    <w:qFormat/>
    <w:pPr>
      <w:spacing w:lineRule="atLeast" w:line="240" w:before="173" w:after="0"/>
      <w:ind w:hanging="0" w:start="0" w:end="3600"/>
    </w:pPr>
    <w:rPr>
      <w:sz w:val="20"/>
    </w:rPr>
  </w:style>
  <w:style w:type="paragraph" w:styleId="zEdisonAddress2">
    <w:name w:val="zEdison Address2"/>
    <w:basedOn w:val="Normal"/>
    <w:qFormat/>
    <w:pPr>
      <w:keepNext w:val="true"/>
      <w:keepLines/>
      <w:spacing w:before="240" w:after="0"/>
    </w:pPr>
    <w:rPr/>
  </w:style>
  <w:style w:type="paragraph" w:styleId="zHeader">
    <w:name w:val="zHeader"/>
    <w:basedOn w:val="Normal"/>
    <w:qFormat/>
    <w:pPr>
      <w:spacing w:lineRule="exact" w:line="480" w:before="0" w:after="480"/>
      <w:jc w:val="center"/>
    </w:pPr>
    <w:rPr>
      <w:b/>
    </w:rPr>
  </w:style>
  <w:style w:type="paragraph" w:styleId="zClosing">
    <w:name w:val="zClosing"/>
    <w:basedOn w:val="Normal"/>
    <w:qFormat/>
    <w:pPr>
      <w:keepNext w:val="true"/>
      <w:keepLines/>
      <w:spacing w:before="1080" w:after="0"/>
      <w:ind w:hanging="0" w:start="3960" w:end="0"/>
    </w:pPr>
    <w:rPr/>
  </w:style>
  <w:style w:type="paragraph" w:styleId="zParen">
    <w:name w:val="zParen"/>
    <w:basedOn w:val="Normal"/>
    <w:qFormat/>
    <w:pPr>
      <w:spacing w:lineRule="atLeast" w:line="240"/>
    </w:pPr>
    <w:rPr/>
  </w:style>
  <w:style w:type="paragraph" w:styleId="zBriefFooter">
    <w:name w:val="zBriefFooter"/>
    <w:basedOn w:val="Normal"/>
    <w:qFormat/>
    <w:pPr>
      <w:tabs>
        <w:tab w:val="clear" w:pos="720"/>
        <w:tab w:val="left" w:pos="5040" w:leader="none"/>
      </w:tabs>
    </w:pPr>
    <w:rPr>
      <w:sz w:val="16"/>
    </w:rPr>
  </w:style>
  <w:style w:type="paragraph" w:styleId="zDate2">
    <w:name w:val="zDate2"/>
    <w:basedOn w:val="Normal"/>
    <w:qFormat/>
    <w:pPr>
      <w:spacing w:before="480" w:after="0"/>
    </w:pPr>
    <w:rPr/>
  </w:style>
  <w:style w:type="paragraph" w:styleId="zCaptionSeparator">
    <w:name w:val="zCaption Separator"/>
    <w:basedOn w:val="Normal"/>
    <w:next w:val="zCaption"/>
    <w:qFormat/>
    <w:pPr>
      <w:pBdr>
        <w:bottom w:val="single" w:sz="6" w:space="1" w:color="000000"/>
      </w:pBdr>
    </w:pPr>
    <w:rPr/>
  </w:style>
  <w:style w:type="paragraph" w:styleId="Enclosures">
    <w:name w:val="Enclosures"/>
    <w:basedOn w:val="Normal"/>
    <w:qFormat/>
    <w:pPr>
      <w:spacing w:lineRule="atLeast" w:line="240"/>
    </w:pPr>
    <w:rPr/>
  </w:style>
  <w:style w:type="paragraph" w:styleId="zLine-nums">
    <w:name w:val="zLine-nums"/>
    <w:basedOn w:val="Normal"/>
    <w:qFormat/>
    <w:pPr>
      <w:spacing w:lineRule="exact" w:line="480"/>
      <w:jc w:val="end"/>
    </w:pPr>
    <w:rPr/>
  </w:style>
  <w:style w:type="paragraph" w:styleId="zLine-nums2">
    <w:name w:val="zLine-nums 2"/>
    <w:basedOn w:val="Normal"/>
    <w:qFormat/>
    <w:pPr>
      <w:spacing w:lineRule="atLeast" w:line="240"/>
    </w:pPr>
    <w:rPr/>
  </w:style>
  <w:style w:type="paragraph" w:styleId="zLine-nums3">
    <w:name w:val="zLine-nums 3"/>
    <w:basedOn w:val="Normal"/>
    <w:qFormat/>
    <w:pPr/>
    <w:rPr/>
  </w:style>
  <w:style w:type="paragraph" w:styleId="InterrogResponse">
    <w:name w:val="Interrog Response"/>
    <w:basedOn w:val="Normal"/>
    <w:qFormat/>
    <w:pPr>
      <w:spacing w:lineRule="exact" w:line="480"/>
    </w:pPr>
    <w:rPr>
      <w:b/>
    </w:rPr>
  </w:style>
  <w:style w:type="paragraph" w:styleId="Interrogatory">
    <w:name w:val="Interrogatory"/>
    <w:basedOn w:val="Normal"/>
    <w:next w:val="Heading1Text"/>
    <w:qFormat/>
    <w:pPr>
      <w:spacing w:lineRule="exact" w:line="480"/>
    </w:pPr>
    <w:rPr>
      <w:b/>
    </w:rPr>
  </w:style>
  <w:style w:type="paragraph" w:styleId="zAttorneysForCOSPage">
    <w:name w:val="zAttorneysForCOSPage"/>
    <w:basedOn w:val="Normal"/>
    <w:qFormat/>
    <w:pPr>
      <w:keepNext w:val="true"/>
      <w:keepLines/>
      <w:spacing w:before="480" w:after="0"/>
      <w:ind w:hanging="0" w:start="3600" w:end="0"/>
    </w:pPr>
    <w:rPr/>
  </w:style>
  <w:style w:type="paragraph" w:styleId="zEdisonAddressCOSPage">
    <w:name w:val="zEdisonAddressCOSPage"/>
    <w:basedOn w:val="Normal"/>
    <w:qFormat/>
    <w:pPr>
      <w:keepNext w:val="true"/>
      <w:keepLines/>
      <w:spacing w:before="240" w:after="0"/>
      <w:ind w:hanging="0" w:start="4320" w:end="0"/>
    </w:pPr>
    <w:rPr/>
  </w:style>
  <w:style w:type="paragraph" w:styleId="zDefendent">
    <w:name w:val="zDefendent"/>
    <w:basedOn w:val="Normal"/>
    <w:qFormat/>
    <w:pPr>
      <w:spacing w:lineRule="atLeast" w:line="240" w:before="240" w:after="280"/>
      <w:ind w:hanging="0" w:start="1440" w:end="0"/>
    </w:pPr>
    <w:rPr/>
  </w:style>
  <w:style w:type="paragraph" w:styleId="zEdisonAddress">
    <w:name w:val="zEdison Address"/>
    <w:basedOn w:val="Normal"/>
    <w:qFormat/>
    <w:pPr>
      <w:spacing w:before="240" w:after="0"/>
      <w:ind w:hanging="0" w:start="5040" w:end="0"/>
    </w:pPr>
    <w:rPr/>
  </w:style>
  <w:style w:type="paragraph" w:styleId="CertificateText">
    <w:name w:val="Certificate Text"/>
    <w:basedOn w:val="LetterText"/>
    <w:qFormat/>
    <w:pPr>
      <w:spacing w:lineRule="atLeast" w:line="480" w:before="0" w:after="240"/>
      <w:ind w:firstLine="720" w:start="0" w:end="0"/>
    </w:pPr>
    <w:rPr/>
  </w:style>
  <w:style w:type="paragraph" w:styleId="zTitle">
    <w:name w:val="zTitle"/>
    <w:basedOn w:val="Normal"/>
    <w:qFormat/>
    <w:pPr>
      <w:spacing w:lineRule="atLeast" w:line="360" w:before="0" w:after="720"/>
      <w:jc w:val="center"/>
    </w:pPr>
    <w:rPr>
      <w:b/>
      <w:caps/>
      <w:color w:val="FF00FF"/>
      <w:u w:val="single"/>
    </w:rPr>
  </w:style>
  <w:style w:type="paragraph" w:styleId="zTOCHeader">
    <w:name w:val="zTOCHeader"/>
    <w:basedOn w:val="Normal"/>
    <w:qFormat/>
    <w:pPr/>
    <w:rPr>
      <w:u w:val="single"/>
    </w:rPr>
  </w:style>
  <w:style w:type="paragraph" w:styleId="zPhone">
    <w:name w:val="zPhone"/>
    <w:basedOn w:val="Normal"/>
    <w:qFormat/>
    <w:pPr>
      <w:keepNext w:val="true"/>
      <w:ind w:hanging="0" w:start="4320" w:end="0"/>
    </w:pPr>
    <w:rPr>
      <w:color w:val="0000FF"/>
    </w:rPr>
  </w:style>
  <w:style w:type="paragraph" w:styleId="zAuthorName">
    <w:name w:val="zAuthorName"/>
    <w:basedOn w:val="Normal"/>
    <w:qFormat/>
    <w:pPr/>
    <w:rPr>
      <w:color w:val="0000FF"/>
    </w:rPr>
  </w:style>
  <w:style w:type="paragraph" w:styleId="zLetterText">
    <w:name w:val="zLetter Text"/>
    <w:basedOn w:val="Normal"/>
    <w:qFormat/>
    <w:pPr>
      <w:spacing w:lineRule="atLeast" w:line="240" w:before="240" w:after="0"/>
    </w:pPr>
    <w:rPr/>
  </w:style>
  <w:style w:type="paragraph" w:styleId="footnoteseparator">
    <w:name w:val="footnote separator"/>
    <w:basedOn w:val="Normal"/>
    <w:qFormat/>
    <w:pPr>
      <w:spacing w:lineRule="exact" w:line="240" w:before="0" w:after="240"/>
    </w:pPr>
    <w:rPr/>
  </w:style>
  <w:style w:type="paragraph" w:styleId="zAttorneysFor">
    <w:name w:val="zAttorneysFor"/>
    <w:basedOn w:val="Normal"/>
    <w:next w:val="zEdisonAddress"/>
    <w:qFormat/>
    <w:pPr>
      <w:keepNext w:val="true"/>
      <w:spacing w:before="480" w:after="0"/>
      <w:ind w:hanging="0" w:start="3600" w:end="0"/>
    </w:pPr>
    <w:rPr/>
  </w:style>
  <w:style w:type="paragraph" w:styleId="zEdisonAddressTitlePage">
    <w:name w:val="zEdisonAddressTitlePage"/>
    <w:basedOn w:val="Normal"/>
    <w:qFormat/>
    <w:pPr>
      <w:keepNext w:val="true"/>
      <w:keepLines/>
      <w:spacing w:before="240" w:after="0"/>
      <w:ind w:hanging="0" w:start="4320" w:end="0"/>
    </w:pPr>
    <w:rPr/>
  </w:style>
  <w:style w:type="paragraph" w:styleId="zAttorneysForTitlePage">
    <w:name w:val="zAttorneysForTitlePage"/>
    <w:basedOn w:val="Normal"/>
    <w:qFormat/>
    <w:pPr>
      <w:keepNext w:val="true"/>
      <w:keepLines/>
      <w:spacing w:before="120" w:after="0"/>
      <w:ind w:hanging="0" w:start="3600" w:end="0"/>
    </w:pPr>
    <w:rPr/>
  </w:style>
  <w:style w:type="paragraph" w:styleId="zEdisonAddress1">
    <w:name w:val="zEdisonAddress"/>
    <w:basedOn w:val="Normal"/>
    <w:qFormat/>
    <w:pPr>
      <w:spacing w:lineRule="exact" w:line="240"/>
    </w:pPr>
    <w:rPr>
      <w:rFonts w:ascii="Times" w:hAnsi="Times" w:cs="Times"/>
      <w:sz w:val="20"/>
    </w:rPr>
  </w:style>
  <w:style w:type="paragraph" w:styleId="zAttorneysFor1">
    <w:name w:val="zAttorneys For"/>
    <w:basedOn w:val="zEdisonAddress1"/>
    <w:qFormat/>
    <w:pPr>
      <w:spacing w:before="240" w:after="0"/>
    </w:pPr>
    <w:rPr/>
  </w:style>
  <w:style w:type="paragraph" w:styleId="zEdisonAddressCOSPage1">
    <w:name w:val="zEdison Address COS Page"/>
    <w:basedOn w:val="Normal"/>
    <w:qFormat/>
    <w:pPr>
      <w:keepNext w:val="true"/>
      <w:keepLines/>
      <w:ind w:hanging="0" w:start="4320" w:end="0"/>
    </w:pPr>
    <w:rPr/>
  </w:style>
  <w:style w:type="paragraph" w:styleId="zPhoneCOSPage">
    <w:name w:val="zPhoneCOSPage"/>
    <w:basedOn w:val="Normal"/>
    <w:qFormat/>
    <w:pPr>
      <w:ind w:hanging="0" w:start="4320" w:end="0"/>
    </w:pPr>
    <w:rPr/>
  </w:style>
  <w:style w:type="paragraph" w:styleId="heading3Text1">
    <w:name w:val="heading 3 Text1"/>
    <w:basedOn w:val="Heading2Text"/>
    <w:qFormat/>
    <w:pPr>
      <w:spacing w:lineRule="exact" w:line="480"/>
      <w:ind w:firstLine="1440" w:start="720" w:end="0"/>
    </w:pPr>
    <w:rPr>
      <w:rFonts w:ascii="Courier" w:hAnsi="Courier" w:cs="Courier"/>
    </w:rPr>
  </w:style>
  <w:style w:type="paragraph" w:styleId="heading4Text1">
    <w:name w:val="heading 4 Text1"/>
    <w:basedOn w:val="heading3Text1"/>
    <w:qFormat/>
    <w:pPr>
      <w:ind w:firstLine="1440" w:start="1440" w:end="0"/>
    </w:pPr>
    <w:rPr/>
  </w:style>
  <w:style w:type="paragraph" w:styleId="heading5Text1">
    <w:name w:val="heading 5 Text1"/>
    <w:basedOn w:val="heading4Text1"/>
    <w:qFormat/>
    <w:pPr>
      <w:ind w:firstLine="1440" w:start="2160" w:end="0"/>
    </w:pPr>
    <w:rPr/>
  </w:style>
  <w:style w:type="paragraph" w:styleId="heading6Text1">
    <w:name w:val="heading 6 Text1"/>
    <w:basedOn w:val="Heading1Text"/>
    <w:qFormat/>
    <w:pPr>
      <w:spacing w:lineRule="exact" w:line="480"/>
      <w:ind w:firstLine="720" w:start="2880" w:end="0"/>
    </w:pPr>
    <w:rPr>
      <w:rFonts w:ascii="Courier" w:hAnsi="Courier" w:cs="Courier"/>
    </w:rPr>
  </w:style>
  <w:style w:type="paragraph" w:styleId="heading7Text1">
    <w:name w:val="heading 7 Text1"/>
    <w:basedOn w:val="Heading2Text"/>
    <w:qFormat/>
    <w:pPr>
      <w:spacing w:lineRule="exact" w:line="480"/>
      <w:ind w:firstLine="720" w:start="3600" w:end="0"/>
    </w:pPr>
    <w:rPr>
      <w:rFonts w:ascii="Courier" w:hAnsi="Courier" w:cs="Courier"/>
    </w:rPr>
  </w:style>
  <w:style w:type="paragraph" w:styleId="heading8Text1">
    <w:name w:val="heading 8 Text1"/>
    <w:basedOn w:val="Heading2Text"/>
    <w:qFormat/>
    <w:pPr>
      <w:spacing w:lineRule="exact" w:line="480"/>
      <w:ind w:firstLine="720" w:start="4320" w:end="0"/>
    </w:pPr>
    <w:rPr>
      <w:rFonts w:ascii="Courier" w:hAnsi="Courier" w:cs="Courier"/>
    </w:rPr>
  </w:style>
  <w:style w:type="paragraph" w:styleId="heading9Text1">
    <w:name w:val="heading 9 Text1"/>
    <w:basedOn w:val="Heading2Text"/>
    <w:qFormat/>
    <w:pPr>
      <w:spacing w:lineRule="exact" w:line="480"/>
      <w:ind w:firstLine="720" w:start="5040" w:end="0"/>
    </w:pPr>
    <w:rPr>
      <w:rFonts w:ascii="Courier" w:hAnsi="Courier" w:cs="Courier"/>
    </w:rPr>
  </w:style>
  <w:style w:type="paragraph" w:styleId="zFacsimile">
    <w:name w:val="zFacsimile"/>
    <w:basedOn w:val="Normal"/>
    <w:qFormat/>
    <w:pPr>
      <w:keepNext w:val="true"/>
      <w:ind w:hanging="0" w:start="4320" w:end="0"/>
    </w:pPr>
    <w:rPr>
      <w:color w:val="0000FF"/>
    </w:rPr>
  </w:style>
  <w:style w:type="paragraph" w:styleId="zHeaderAuthorName">
    <w:name w:val="zHeaderAuthorName"/>
    <w:basedOn w:val="Normal"/>
    <w:next w:val="Normal"/>
    <w:qFormat/>
    <w:pPr>
      <w:spacing w:before="240" w:after="29"/>
      <w:ind w:hanging="0" w:start="720" w:end="0"/>
    </w:pPr>
    <w:rPr>
      <w:rFonts w:ascii="Times New Roman" w:hAnsi="Times New Roman" w:cs="Times New Roman"/>
      <w:b/>
      <w:color w:val="000000"/>
      <w:sz w:val="18"/>
    </w:rPr>
  </w:style>
  <w:style w:type="paragraph" w:styleId="zHeaderAuthorTitle">
    <w:name w:val="zHeaderAuthorTitle"/>
    <w:basedOn w:val="Normal"/>
    <w:qFormat/>
    <w:pPr>
      <w:ind w:hanging="0" w:start="720" w:end="0"/>
    </w:pPr>
    <w:rPr>
      <w:rFonts w:ascii="Times New Roman" w:hAnsi="Times New Roman" w:cs="Times New Roman"/>
      <w:color w:val="000000"/>
      <w:spacing w:val="-1"/>
      <w:sz w:val="18"/>
    </w:rPr>
  </w:style>
  <w:style w:type="paragraph" w:styleId="zHeaderLogo">
    <w:name w:val="zHeaderLogo"/>
    <w:basedOn w:val="Normal"/>
    <w:next w:val="Normal"/>
    <w:qFormat/>
    <w:pPr>
      <w:spacing w:before="120" w:after="0"/>
    </w:pPr>
    <w:rPr>
      <w:rFonts w:ascii="Times New Roman" w:hAnsi="Times New Roman" w:cs="Times New Roman"/>
      <w:sz w:val="16"/>
    </w:rPr>
  </w:style>
  <w:style w:type="paragraph" w:styleId="zEmail">
    <w:name w:val="zEmail"/>
    <w:basedOn w:val="zFacsimile"/>
    <w:qFormat/>
    <w:pPr>
      <w:spacing w:before="0" w:after="240"/>
    </w:pPr>
    <w:rPr/>
  </w:style>
  <w:style w:type="paragraph" w:styleId="TOCTitle">
    <w:name w:val="TOC Title"/>
    <w:basedOn w:val="Normal"/>
    <w:qFormat/>
    <w:pPr>
      <w:spacing w:lineRule="atLeast" w:line="240" w:before="0" w:after="240"/>
      <w:jc w:val="center"/>
    </w:pPr>
    <w:rPr>
      <w:rFonts w:ascii="Courier" w:hAnsi="Courier" w:cs="Courier"/>
      <w:caps/>
      <w:u w:val="single"/>
    </w:rPr>
  </w:style>
  <w:style w:type="paragraph" w:styleId="TOCtable">
    <w:name w:val="TOCtable"/>
    <w:basedOn w:val="Normal"/>
    <w:qFormat/>
    <w:pPr>
      <w:shd w:fill="000000" w:val="clear"/>
      <w:spacing w:lineRule="atLeast" w:line="240"/>
      <w:jc w:val="center"/>
    </w:pPr>
    <w:rPr>
      <w:rFonts w:ascii="Helvetica-Narrow" w:hAnsi="Helvetica-Narrow" w:cs="Helvetica-Narrow"/>
      <w:b/>
      <w:color w:val="FFFFFF"/>
    </w:rPr>
  </w:style>
  <w:style w:type="paragraph" w:styleId="FilingTitle">
    <w:name w:val="Filing Title"/>
    <w:basedOn w:val="Normal"/>
    <w:qFormat/>
    <w:pPr>
      <w:suppressLineNumbers/>
      <w:spacing w:lineRule="atLeast" w:line="240" w:before="0" w:after="120"/>
      <w:jc w:val="center"/>
    </w:pPr>
    <w:rPr>
      <w:b/>
    </w:rPr>
  </w:style>
  <w:style w:type="paragraph" w:styleId="TOCColumnHeading">
    <w:name w:val="TOC Column Heading"/>
    <w:basedOn w:val="Normal"/>
    <w:qFormat/>
    <w:pPr/>
    <w:rPr>
      <w:sz w:val="20"/>
    </w:rPr>
  </w:style>
  <w:style w:type="paragraph" w:styleId="BlockText">
    <w:name w:val="Block Text"/>
    <w:basedOn w:val="Normal"/>
    <w:qFormat/>
    <w:pPr>
      <w:ind w:firstLine="720" w:start="-720" w:end="-720"/>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_rels/header6.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Edison Brief.dot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2001-11-07T17:17:00Z</dcterms:created>
  <dc:creator>Sarah C. Perez</dc:creator>
  <dc:description/>
  <dc:language>en-CA</dc:language>
  <cp:lastModifiedBy>medranet</cp:lastModifiedBy>
  <cp:lastPrinted>2001-11-07T11:44:00Z</cp:lastPrinted>
  <dcterms:modified xsi:type="dcterms:W3CDTF">2001-11-07T17:17:00Z</dcterms:modified>
  <cp:revision>2</cp:revision>
  <dc:subject/>
  <dc:title>SCE Brief</dc:title>
</cp:coreProperties>
</file>