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hanging="0" w:end="0"/>
        <w:jc w:val="center"/>
        <w:rPr>
          <w:b/>
          <w:bCs/>
          <w:u w:val="single"/>
        </w:rPr>
      </w:pPr>
      <w:r>
        <w:rPr>
          <w:b/>
          <w:bCs/>
          <w:u w:val="single"/>
        </w:rPr>
        <w:t>SDG&amp;E Advice Letter Summary</w:t>
      </w:r>
    </w:p>
    <w:p>
      <w:pPr>
        <w:pStyle w:val="Body"/>
        <w:ind w:hanging="0" w:end="0"/>
        <w:jc w:val="center"/>
        <w:rPr/>
      </w:pPr>
      <w:r>
        <w:rPr/>
        <w:t>November 6, 2000</w:t>
        <w:b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1260-E-A</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10/30/00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11/19/00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spacing w:before="0" w:after="0"/>
              <w:ind w:hanging="0" w:end="0"/>
              <w:rPr>
                <w:b/>
                <w:bCs/>
              </w:rPr>
            </w:pPr>
            <w:r>
              <w:rPr>
                <w:b/>
                <w:bCs/>
              </w:rPr>
              <w:t xml:space="preserve">Analysis:  </w:t>
            </w:r>
          </w:p>
          <w:p>
            <w:pPr>
              <w:pStyle w:val="Normal"/>
              <w:jc w:val="both"/>
              <w:rPr/>
            </w:pPr>
            <w:r>
              <w:rPr/>
              <w:t>This supplemental advice letter filing is being made to clarify the disposition of the Energy Rate Ceiling Retroactive Credit for a final or closed account, and to make other minor refinements to AL 1260-E, dated 10/2/00.  Customers who move within the service territory will have the credit transferred to their new account and customers who leave permanently will be informed by mail of the availability of the refund.</w:t>
            </w:r>
          </w:p>
          <w:p>
            <w:pPr>
              <w:pStyle w:val="Normal"/>
              <w:rPr/>
            </w:pPr>
            <w:r>
              <w:rPr/>
            </w:r>
          </w:p>
          <w:p>
            <w:pPr>
              <w:pStyle w:val="Normal"/>
              <w:rPr>
                <w:u w:val="single"/>
              </w:rPr>
            </w:pPr>
            <w:r>
              <w:rPr>
                <w:u w:val="single"/>
              </w:rPr>
              <w:t>This filing replaces SDG&amp;E’s Advice Letter 1260-E in its entirety.</w:t>
            </w:r>
          </w:p>
          <w:p>
            <w:pPr>
              <w:pStyle w:val="Normal"/>
              <w:jc w:val="both"/>
              <w:rPr>
                <w:u w:val="single"/>
              </w:rPr>
            </w:pPr>
            <w:r>
              <w:rPr>
                <w:u w:val="single"/>
              </w:rPr>
            </w:r>
          </w:p>
          <w:p>
            <w:pPr>
              <w:pStyle w:val="Normal"/>
              <w:tabs>
                <w:tab w:val="clear" w:pos="720"/>
                <w:tab w:val="left" w:pos="9180" w:leader="none"/>
              </w:tabs>
              <w:ind w:start="720" w:end="0"/>
              <w:jc w:val="both"/>
              <w:rPr/>
            </w:pPr>
            <w:r>
              <w:rPr/>
            </w:r>
          </w:p>
        </w:tc>
      </w:tr>
    </w:tbl>
    <w:p>
      <w:pPr>
        <w:pStyle w:val="Body"/>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1267-E / 1225-G</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11/3/00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11/23/00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spacing w:before="0" w:after="0"/>
              <w:ind w:hanging="0" w:end="0"/>
              <w:rPr>
                <w:b/>
                <w:bCs/>
              </w:rPr>
            </w:pPr>
            <w:r>
              <w:rPr>
                <w:b/>
                <w:bCs/>
              </w:rPr>
              <w:t xml:space="preserve">Analysis:  </w:t>
            </w:r>
          </w:p>
          <w:p>
            <w:pPr>
              <w:pStyle w:val="Normal"/>
              <w:rPr/>
            </w:pPr>
            <w:r>
              <w:rPr/>
              <w:t>This advice letter filing informs the Commission of the creation of several new affiliates, as required by the Affiliate Transaction Rules.</w:t>
            </w:r>
          </w:p>
          <w:p>
            <w:pPr>
              <w:pStyle w:val="Normal"/>
              <w:rPr/>
            </w:pPr>
            <w:r>
              <w:rPr/>
            </w:r>
          </w:p>
          <w:p>
            <w:pPr>
              <w:pStyle w:val="Normal"/>
              <w:rPr/>
            </w:pPr>
            <w:r>
              <w:rPr/>
              <w:t xml:space="preserve">Normally, these are of no special interest, however, it’s interesting to note that SDG&amp;E is announcing the formation of </w:t>
            </w:r>
            <w:r>
              <w:rPr>
                <w:u w:val="single"/>
              </w:rPr>
              <w:t>38</w:t>
            </w:r>
            <w:r>
              <w:rPr/>
              <w:t xml:space="preserve"> new affiliates in one advice letter!  Most are for international ventures, although a few are domestic.  Several were organized quite a few years ago.  This looks as if someone at Sempra suddenly slapped his or her forehead and said, “Oh!  You mean we have to report international affiliates, too?”</w:t>
            </w:r>
          </w:p>
          <w:p>
            <w:pPr>
              <w:pStyle w:val="Normal"/>
              <w:rPr/>
            </w:pPr>
            <w:r>
              <w:rPr/>
            </w:r>
          </w:p>
          <w:p>
            <w:pPr>
              <w:pStyle w:val="Normal"/>
              <w:rPr>
                <w:u w:val="single"/>
              </w:rPr>
            </w:pPr>
            <w:r>
              <w:rPr/>
              <w:t>SoCalGas has filed its own version of this, AL 2972.</w:t>
            </w:r>
          </w:p>
          <w:p>
            <w:pPr>
              <w:pStyle w:val="Normal"/>
              <w:jc w:val="both"/>
              <w:rPr>
                <w:u w:val="single"/>
              </w:rPr>
            </w:pPr>
            <w:r>
              <w:rPr>
                <w:u w:val="single"/>
              </w:rPr>
            </w:r>
          </w:p>
          <w:p>
            <w:pPr>
              <w:pStyle w:val="Normal"/>
              <w:tabs>
                <w:tab w:val="clear" w:pos="720"/>
                <w:tab w:val="left" w:pos="9180" w:leader="none"/>
              </w:tabs>
              <w:ind w:start="720" w:end="0"/>
              <w:jc w:val="both"/>
              <w:rPr/>
            </w:pPr>
            <w:r>
              <w:rPr/>
            </w:r>
          </w:p>
        </w:tc>
      </w:tr>
    </w:tbl>
    <w:p>
      <w:pPr>
        <w:pStyle w:val="Body"/>
        <w:spacing w:before="0" w:after="24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SDG&amp;E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Strong">
    <w:name w:val="Strong"/>
    <w:qFormat/>
    <w:rPr>
      <w:b/>
      <w:bCs/>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
    <w:name w:val="Body Text 2"/>
    <w:basedOn w:val="Normal"/>
    <w:qFormat/>
    <w:pPr>
      <w:widowControl w:val="false"/>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2000-11-06T15:47:00Z</dcterms:created>
  <dc:creator>Arter &amp; Hadden</dc:creator>
  <dc:description/>
  <dc:language>en-CA</dc:language>
  <cp:lastModifiedBy>Arter &amp; Hadden</cp:lastModifiedBy>
  <cp:lastPrinted>2000-11-06T10:35:00Z</cp:lastPrinted>
  <dcterms:modified xsi:type="dcterms:W3CDTF">2000-11-06T16:05:00Z</dcterms:modified>
  <cp:revision>5</cp:revision>
  <dc:subject/>
  <dc:title>A</dc:title>
</cp:coreProperties>
</file>