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>11/20/00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High level summary of examination of Post Phase V expansions in Florida.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First is a plot of the expected volumes versus the service year.  This gives a flavor of the needs.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873625" cy="33324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33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The Land and Sea approaches to the future are very different in terms of capital requirements. </w:t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139055" cy="351409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351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This approach here assumes the FGT controls the ocean route such that we can shift existing volumes through the ocean pipeline and thereby idle a considerable amouunt of horsepower for a number of years.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horsepower shown for the ocean route is the  net of the new horsepower required and the existing horsepower idled.  By 2011, all the idled horespower is fully utilized.</w:t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45720</wp:posOffset>
            </wp:positionH>
            <wp:positionV relativeFrom="paragraph">
              <wp:posOffset>73660</wp:posOffset>
            </wp:positionV>
            <wp:extent cx="4526280" cy="3094990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09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45720</wp:posOffset>
            </wp:positionH>
            <wp:positionV relativeFrom="paragraph">
              <wp:posOffset>3822700</wp:posOffset>
            </wp:positionV>
            <wp:extent cx="4526280" cy="3095625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The next graph while not truly representative of a rate which would be charged, does provide another means of comparing the cases.  The rate for each data point for each approach is computed as if it were a separate project.  For example, take the 3d year, sea route.  The rate is calculated assuming a 390 mm/d year-round for twenty years with a plant employed of $729mm and plant held for future use of $396mm.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run the rates out for a twenty year project, letting the volumes build and the plant idled decline and assume that winter signup is 50% of summer, the rates are as follows:</w:t>
      </w:r>
    </w:p>
    <w:p>
      <w:pPr>
        <w:pStyle w:val="Normal"/>
        <w:rPr/>
      </w:pPr>
      <w:r>
        <w:rPr/>
        <w:tab/>
        <w:tab/>
        <w:tab/>
        <w:t>By Land</w:t>
        <w:tab/>
        <w:tab/>
        <w:tab/>
        <w:t>By Sea</w:t>
      </w:r>
    </w:p>
    <w:p>
      <w:pPr>
        <w:pStyle w:val="Normal"/>
        <w:rPr/>
      </w:pPr>
      <w:r>
        <w:rPr/>
        <w:t>No Plant HFFU</w:t>
        <w:tab/>
        <w:tab/>
        <w:t xml:space="preserve"> $1.02</w:t>
        <w:tab/>
        <w:tab/>
        <w:tab/>
        <w:t>$0.892</w:t>
      </w:r>
    </w:p>
    <w:p>
      <w:pPr>
        <w:pStyle w:val="Normal"/>
        <w:rPr/>
      </w:pPr>
      <w:r>
        <w:rPr/>
        <w:t>PHFFU@ 8.5%</w:t>
        <w:tab/>
        <w:tab/>
        <w:t xml:space="preserve">   N.A.</w:t>
        <w:tab/>
        <w:tab/>
        <w:tab/>
        <w:t>$0.880</w:t>
      </w:r>
    </w:p>
    <w:p>
      <w:pPr>
        <w:pStyle w:val="Normal"/>
        <w:rPr/>
      </w:pPr>
      <w:r>
        <w:rPr/>
        <w:t>PHFFU@ 13.6%</w:t>
        <w:tab/>
        <w:tab/>
        <w:t xml:space="preserve">   N.A.</w:t>
        <w:tab/>
        <w:tab/>
        <w:tab/>
        <w:t>$0.927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we start at 90% debt and let it decline to 64% as the volumes pick up, the rate drops by 5 cents (at 8.5%).</w:t>
      </w:r>
    </w:p>
    <w:sectPr>
      <w:type w:val="nextPage"/>
      <w:pgSz w:w="12240" w:h="15840"/>
      <w:pgMar w:left="1800" w:right="180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2000-11-30T17:26:00Z</dcterms:created>
  <dc:creator>drosenb</dc:creator>
  <dc:description/>
  <dc:language>en-CA</dc:language>
  <cp:lastModifiedBy>drosenb</cp:lastModifiedBy>
  <dcterms:modified xsi:type="dcterms:W3CDTF">2000-11-30T18:17:00Z</dcterms:modified>
  <cp:revision>1</cp:revision>
  <dc:subject/>
  <dc:title/>
</cp:coreProperties>
</file>