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Zurich BT;Tahoma" w:hAnsi="Zurich BT;Tahoma" w:cs="Zurich BT;Tahoma"/>
          <w:spacing w:val="-8"/>
          <w:sz w:val="16"/>
          <w:lang w:val="en-CA" w:eastAsia="en-CA"/>
        </w:rPr>
      </w:pPr>
      <w:r>
        <w:rPr>
          <w:rFonts w:cs="Zurich BT;Tahoma" w:ascii="Zurich BT;Tahoma" w:hAnsi="Zurich BT;Tahoma"/>
          <w:spacing w:val="-8"/>
          <w:sz w:val="16"/>
          <w:lang w:val="en-CA" w:eastAsia="en-CA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3749040</wp:posOffset>
            </wp:positionH>
            <wp:positionV relativeFrom="paragraph">
              <wp:posOffset>-365760</wp:posOffset>
            </wp:positionV>
            <wp:extent cx="2189480" cy="66548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9" r="-3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start="7200" w:end="0"/>
        <w:rPr>
          <w:rFonts w:ascii="Zurich BT;Tahoma" w:hAnsi="Zurich BT;Tahoma" w:cs="Zurich BT;Tahoma"/>
          <w:color w:val="808080"/>
          <w:spacing w:val="-8"/>
          <w:sz w:val="16"/>
        </w:rPr>
      </w:pPr>
      <w:r>
        <w:rPr>
          <w:rFonts w:cs="Zurich BT;Tahoma" w:ascii="Zurich BT;Tahoma" w:hAnsi="Zurich BT;Tahoma"/>
          <w:color w:val="808080"/>
          <w:spacing w:val="-8"/>
          <w:sz w:val="16"/>
        </w:rPr>
        <w:t>1401 New York Avenue, NW</w:t>
      </w:r>
    </w:p>
    <w:p>
      <w:pPr>
        <w:pStyle w:val="Normal"/>
        <w:ind w:firstLine="720" w:start="720" w:end="0"/>
        <w:rPr/>
      </w:pPr>
      <w:r>
        <w:rPr>
          <w:rFonts w:cs="Zurich BT;Tahoma" w:ascii="Zurich BT;Tahoma" w:hAnsi="Zurich BT;Tahoma"/>
          <w:color w:val="808080"/>
          <w:spacing w:val="-8"/>
          <w:sz w:val="16"/>
        </w:rPr>
        <w:tab/>
        <w:tab/>
        <w:tab/>
        <w:tab/>
        <w:tab/>
        <w:tab/>
        <w:tab/>
        <w:tab/>
        <w:t>11</w:t>
      </w:r>
      <w:r>
        <w:rPr>
          <w:rFonts w:cs="Zurich BT;Tahoma" w:ascii="Zurich BT;Tahoma" w:hAnsi="Zurich BT;Tahoma"/>
          <w:color w:val="808080"/>
          <w:spacing w:val="-8"/>
          <w:sz w:val="16"/>
          <w:vertAlign w:val="superscript"/>
        </w:rPr>
        <w:t>th</w:t>
      </w:r>
      <w:r>
        <w:rPr>
          <w:rFonts w:cs="Zurich BT;Tahoma" w:ascii="Zurich BT;Tahoma" w:hAnsi="Zurich BT;Tahoma"/>
          <w:color w:val="808080"/>
          <w:spacing w:val="-8"/>
          <w:sz w:val="16"/>
        </w:rPr>
        <w:t xml:space="preserve"> Floor</w:t>
      </w:r>
    </w:p>
    <w:p>
      <w:pPr>
        <w:pStyle w:val="Normal"/>
        <w:rPr>
          <w:rFonts w:ascii="Zurich BT;Tahoma" w:hAnsi="Zurich BT;Tahoma" w:cs="Zurich BT;Tahoma"/>
          <w:color w:val="808080"/>
          <w:spacing w:val="-8"/>
          <w:sz w:val="16"/>
        </w:rPr>
      </w:pPr>
      <w:r>
        <w:rPr>
          <w:rFonts w:cs="Zurich BT;Tahoma" w:ascii="Zurich BT;Tahoma" w:hAnsi="Zurich BT;Tahoma"/>
          <w:color w:val="808080"/>
          <w:spacing w:val="-8"/>
          <w:sz w:val="16"/>
        </w:rPr>
        <w:tab/>
        <w:tab/>
        <w:tab/>
        <w:tab/>
        <w:tab/>
        <w:tab/>
        <w:tab/>
        <w:tab/>
        <w:tab/>
        <w:tab/>
        <w:t>Washington, DC 20005</w:t>
      </w:r>
    </w:p>
    <w:p>
      <w:pPr>
        <w:pStyle w:val="Normal"/>
        <w:rPr>
          <w:rFonts w:ascii="Zurich BT;Tahoma" w:hAnsi="Zurich BT;Tahoma" w:cs="Zurich BT;Tahoma"/>
          <w:color w:val="808080"/>
          <w:spacing w:val="-8"/>
          <w:sz w:val="16"/>
        </w:rPr>
      </w:pPr>
      <w:r>
        <w:rPr>
          <w:rFonts w:cs="Zurich BT;Tahoma" w:ascii="Zurich BT;Tahoma" w:hAnsi="Zurich BT;Tahoma"/>
          <w:color w:val="808080"/>
          <w:spacing w:val="-8"/>
          <w:sz w:val="16"/>
        </w:rPr>
        <w:tab/>
        <w:tab/>
        <w:tab/>
        <w:tab/>
        <w:tab/>
        <w:tab/>
        <w:tab/>
        <w:tab/>
        <w:tab/>
        <w:tab/>
        <w:t>202/628-8200</w:t>
      </w:r>
    </w:p>
    <w:p>
      <w:pPr>
        <w:pStyle w:val="Normal"/>
        <w:rPr>
          <w:rFonts w:ascii="Zurich BT;Tahoma" w:hAnsi="Zurich BT;Tahoma" w:cs="Zurich BT;Tahoma"/>
          <w:color w:val="808080"/>
          <w:spacing w:val="-8"/>
          <w:sz w:val="16"/>
        </w:rPr>
      </w:pPr>
      <w:r>
        <w:rPr>
          <w:rFonts w:cs="Zurich BT;Tahoma" w:ascii="Zurich BT;Tahoma" w:hAnsi="Zurich BT;Tahoma"/>
          <w:color w:val="808080"/>
          <w:spacing w:val="-8"/>
          <w:sz w:val="16"/>
        </w:rPr>
        <w:tab/>
        <w:tab/>
        <w:tab/>
        <w:tab/>
        <w:tab/>
        <w:tab/>
        <w:tab/>
        <w:tab/>
        <w:tab/>
        <w:tab/>
        <w:t>202/628-8260  fax</w:t>
      </w:r>
    </w:p>
    <w:p>
      <w:pPr>
        <w:pStyle w:val="Normal"/>
        <w:rPr/>
      </w:pPr>
      <w:r>
        <w:rPr>
          <w:rFonts w:cs="Zurich BT;Tahoma" w:ascii="Zurich BT;Tahoma" w:hAnsi="Zurich BT;Tahoma"/>
          <w:color w:val="808080"/>
          <w:spacing w:val="-8"/>
          <w:sz w:val="16"/>
        </w:rPr>
        <w:tab/>
        <w:tab/>
        <w:tab/>
        <w:tab/>
        <w:tab/>
        <w:tab/>
        <w:tab/>
        <w:tab/>
        <w:tab/>
        <w:tab/>
      </w:r>
      <w:r>
        <w:rPr>
          <w:rFonts w:cs="Zurich BT;Tahoma" w:ascii="Zurich BT;Tahoma" w:hAnsi="Zurich BT;Tahoma"/>
          <w:color w:val="808080"/>
          <w:spacing w:val="-14"/>
          <w:sz w:val="16"/>
        </w:rPr>
        <w:t>www.epsa.org</w:t>
      </w:r>
    </w:p>
    <w:p>
      <w:pPr>
        <w:pStyle w:val="Normal"/>
        <w:rPr>
          <w:rFonts w:ascii="Zurich BT;Tahoma" w:hAnsi="Zurich BT;Tahoma" w:cs="Zurich BT;Tahoma"/>
          <w:caps/>
          <w:sz w:val="36"/>
        </w:rPr>
      </w:pPr>
      <w:r>
        <w:rPr>
          <w:rFonts w:cs="Zurich BT;Tahoma" w:ascii="Zurich BT;Tahoma" w:hAnsi="Zurich BT;Tahoma"/>
          <w:caps/>
          <w:sz w:val="36"/>
        </w:rPr>
        <w:t>Memorandum</w:t>
      </w:r>
    </w:p>
    <w:p>
      <w:pPr>
        <w:pStyle w:val="Normal"/>
        <w:rPr>
          <w:rFonts w:ascii="Arial" w:hAnsi="Arial" w:cs="Arial"/>
          <w:b/>
          <w:caps/>
          <w:spacing w:val="20"/>
          <w:sz w:val="24"/>
        </w:rPr>
      </w:pPr>
      <w:r>
        <w:rPr>
          <w:rFonts w:cs="Arial" w:ascii="Arial" w:hAnsi="Arial"/>
          <w:b/>
          <w:caps/>
          <w:spacing w:val="20"/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78"/>
        <w:gridCol w:w="7578"/>
      </w:tblGrid>
      <w:tr>
        <w:trPr/>
        <w:tc>
          <w:tcPr>
            <w:tcW w:w="127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smallCaps/>
                <w:sz w:val="24"/>
              </w:rPr>
            </w:pPr>
            <w:r>
              <w:rPr>
                <w:rFonts w:cs="Arial" w:ascii="Arial" w:hAnsi="Arial"/>
                <w:b/>
                <w:smallCaps/>
                <w:sz w:val="24"/>
              </w:rPr>
              <w:t>TO:</w:t>
            </w:r>
          </w:p>
        </w:tc>
        <w:tc>
          <w:tcPr>
            <w:tcW w:w="7578" w:type="dxa"/>
            <w:tcBorders/>
          </w:tcPr>
          <w:p>
            <w:pPr>
              <w:pStyle w:val="Normal"/>
              <w:spacing w:before="0" w:after="12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EPSA Legislative Affairs Committee</w:t>
            </w:r>
          </w:p>
        </w:tc>
      </w:tr>
      <w:tr>
        <w:trPr>
          <w:trHeight w:val="666" w:hRule="atLeast"/>
        </w:trPr>
        <w:tc>
          <w:tcPr>
            <w:tcW w:w="127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smallCaps/>
                <w:sz w:val="24"/>
              </w:rPr>
            </w:pPr>
            <w:r>
              <w:rPr>
                <w:rFonts w:cs="Arial" w:ascii="Arial" w:hAnsi="Arial"/>
                <w:b/>
                <w:smallCaps/>
                <w:sz w:val="24"/>
              </w:rPr>
              <w:t>FROM:</w:t>
            </w:r>
          </w:p>
        </w:tc>
        <w:tc>
          <w:tcPr>
            <w:tcW w:w="7578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Scott A. Weiner, Legislative Affairs Committee Chair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Eugene F. Peters, Vice President of Legislative Affairs</w:t>
            </w:r>
          </w:p>
        </w:tc>
      </w:tr>
      <w:tr>
        <w:trPr>
          <w:trHeight w:val="369" w:hRule="atLeast"/>
        </w:trPr>
        <w:tc>
          <w:tcPr>
            <w:tcW w:w="127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smallCaps/>
                <w:sz w:val="24"/>
              </w:rPr>
            </w:pPr>
            <w:r>
              <w:rPr>
                <w:rFonts w:cs="Arial" w:ascii="Arial" w:hAnsi="Arial"/>
                <w:b/>
                <w:smallCaps/>
                <w:sz w:val="24"/>
              </w:rPr>
              <w:t>DATE:</w:t>
            </w:r>
          </w:p>
        </w:tc>
        <w:tc>
          <w:tcPr>
            <w:tcW w:w="7578" w:type="dxa"/>
            <w:tcBorders/>
          </w:tcPr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sz w:val="24"/>
              </w:rPr>
              <w:t>November 27, 2001</w:t>
            </w:r>
          </w:p>
        </w:tc>
      </w:tr>
      <w:tr>
        <w:trPr/>
        <w:tc>
          <w:tcPr>
            <w:tcW w:w="1278" w:type="dxa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smallCaps/>
                <w:sz w:val="24"/>
              </w:rPr>
            </w:pPr>
            <w:r>
              <w:rPr>
                <w:rFonts w:cs="Arial" w:ascii="Arial" w:hAnsi="Arial"/>
                <w:b/>
                <w:smallCaps/>
                <w:sz w:val="24"/>
              </w:rPr>
              <w:t>RE:</w:t>
            </w:r>
          </w:p>
        </w:tc>
        <w:tc>
          <w:tcPr>
            <w:tcW w:w="7578" w:type="dxa"/>
            <w:tcBorders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i/>
                <w:sz w:val="28"/>
                <w:u w:val="single"/>
              </w:rPr>
              <w:t>Conference Call:</w:t>
            </w:r>
            <w:r>
              <w:rPr>
                <w:rFonts w:cs="Arial" w:ascii="Arial" w:hAnsi="Arial"/>
                <w:b/>
                <w:i/>
                <w:sz w:val="24"/>
              </w:rPr>
              <w:t xml:space="preserve">  Legislative Affairs Committee Conference Call/Meeting This Thursday, November 29, at 3:00 p.m., EST. </w:t>
            </w:r>
          </w:p>
        </w:tc>
      </w:tr>
    </w:tbl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pacing w:before="0" w:after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We will hold a Legislative Affairs Committee Conference Call/Meeting this Thursday, November 29, at 3:00 p.m. EST.  The call/meeting will be held at EPSA (1401 New York Avenue, 11th Floor).  To access the call, dial 1-800-937-6563 and ask for the EPSA call moderated by Gene Peters.</w:t>
      </w:r>
    </w:p>
    <w:p>
      <w:pPr>
        <w:pStyle w:val="Normal"/>
        <w:tabs>
          <w:tab w:val="clear" w:pos="720"/>
          <w:tab w:val="left" w:pos="0" w:leader="none"/>
        </w:tabs>
        <w:spacing w:before="0" w:after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Among the issues to be discussed are: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pacing w:before="0" w:after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Outlook for the remaining days of the Congressional session: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</w:tabs>
        <w:spacing w:before="0" w:after="240"/>
        <w:ind w:hanging="360"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Discussion of the current House and Senate legislative agenda;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spacing w:before="0" w:after="240"/>
        <w:ind w:hanging="360"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Preparation for meeting with House Energy and Commerce staff.  This meeting will take place in room 316 of the Ford Building at 4:15 pm, immediately after our Call/Meeting.  If you plan to attend this meeting with House Energy and Commerce staff and have not yet told Donn Salvosa (</w:t>
      </w:r>
      <w:hyperlink r:id="rId3">
        <w:r>
          <w:rPr>
            <w:rStyle w:val="Hyperlink"/>
            <w:rFonts w:cs="Arial" w:ascii="Arial" w:hAnsi="Arial"/>
            <w:sz w:val="24"/>
          </w:rPr>
          <w:t>dsalvosa@epsa.org</w:t>
        </w:r>
      </w:hyperlink>
      <w:r>
        <w:rPr>
          <w:rFonts w:cs="Arial" w:ascii="Arial" w:hAnsi="Arial"/>
          <w:sz w:val="24"/>
        </w:rPr>
        <w:t xml:space="preserve">), please do so.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spacing w:before="0" w:after="240"/>
        <w:ind w:hanging="360"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Discussion of EPSA legislative strategy and focus.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pacing w:before="0" w:after="2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Planning for EPSA December 11 Strategy session and Winter Membership Meeting </w:t>
      </w:r>
    </w:p>
    <w:p>
      <w:pPr>
        <w:pStyle w:val="BodyText"/>
        <w:spacing w:before="0" w:after="0"/>
        <w:rPr>
          <w:rFonts w:eastAsia="Arial"/>
        </w:rPr>
      </w:pPr>
      <w:r>
        <w:rPr>
          <w:rFonts w:eastAsia="Arial"/>
        </w:rPr>
        <w:t xml:space="preserve"> </w:t>
      </w:r>
    </w:p>
    <w:sectPr>
      <w:footerReference w:type="default" r:id="rId4"/>
      <w:type w:val="nextPage"/>
      <w:pgSz w:w="12240" w:h="15840"/>
      <w:pgMar w:left="1440" w:right="1260" w:gutter="0" w:header="0" w:top="129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Zurich BT">
    <w:altName w:val="Tahoma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057900" cy="146685"/>
              <wp:effectExtent l="0" t="0" r="0" b="0"/>
              <wp:wrapNone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14668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477pt;height:11.5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Times New Roman" w:hAnsi="Times New Roman" w:cs="Times New Roman"/>
      <w:sz w:val="20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Times New Roman" w:hAnsi="Times New Roman" w:cs="Times New Roman"/>
      <w:sz w:val="20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  <w:sz w:val="16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Wingdings" w:hAnsi="Wingdings" w:cs="Wingdings"/>
      <w:sz w:val="16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Times New Roman" w:hAnsi="Times New Roman" w:cs="Times New Roman"/>
      <w:sz w:val="20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>
      <w:rFonts w:ascii="Times New Roman" w:hAnsi="Times New Roman" w:cs="Times New Roman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spacing w:before="0" w:after="240"/>
    </w:pPr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tyle0">
    <w:name w:val="Style0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pPr/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dsalvosa@epsa.org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EPSA Leg Affairs Memo</Template>
  <TotalTime>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2001-11-27T13:54:00Z</dcterms:created>
  <dc:creator>Donn J. Salvosa</dc:creator>
  <dc:description/>
  <dc:language>en-CA</dc:language>
  <cp:lastModifiedBy>Andrea Leigh Spring</cp:lastModifiedBy>
  <cp:lastPrinted>2001-11-06T13:11:00Z</cp:lastPrinted>
  <dcterms:modified xsi:type="dcterms:W3CDTF">2001-11-27T14:53:00Z</dcterms:modified>
  <cp:revision>5</cp:revision>
  <dc:subject/>
  <dc:title>						 	1401 H Street, NW</dc:title>
</cp:coreProperties>
</file>