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color w:val="000000"/>
          <w:u w:val="single"/>
        </w:rPr>
      </w:pPr>
      <w:r>
        <w:rPr>
          <w:b/>
          <w:bCs/>
          <w:color w:val="000000"/>
          <w:u w:val="single"/>
        </w:rPr>
        <w:t>PG&amp;E Advice Letter Summary</w:t>
      </w:r>
    </w:p>
    <w:p>
      <w:pPr>
        <w:pStyle w:val="Body"/>
        <w:widowControl/>
        <w:ind w:hanging="0" w:end="0"/>
        <w:jc w:val="center"/>
        <w:rPr>
          <w:b/>
          <w:bCs/>
          <w:color w:val="000000"/>
          <w:u w:val="single"/>
        </w:rPr>
      </w:pPr>
      <w:r>
        <w:rPr>
          <w:b/>
          <w:bCs/>
          <w:color w:val="000000"/>
          <w:u w:val="single"/>
        </w:rPr>
        <w:t>November 28, 2000</w:t>
      </w:r>
    </w:p>
    <w:p>
      <w:pPr>
        <w:pStyle w:val="Body"/>
        <w:widowControl/>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2435"/>
        <w:gridCol w:w="270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2056-E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11/17/00</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12/7/00</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May Be of Interest</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Normal"/>
              <w:tabs>
                <w:tab w:val="clear" w:pos="720"/>
                <w:tab w:val="right" w:pos="0" w:leader="none"/>
              </w:tabs>
              <w:ind w:end="144"/>
              <w:jc w:val="both"/>
              <w:rPr/>
            </w:pPr>
            <w:r>
              <w:rPr>
                <w:color w:val="000000"/>
              </w:rPr>
              <w:t xml:space="preserve">The purpose of this filing is to provide PG&amp;E’s version of the distributed generation interconnection tariff.  </w:t>
            </w:r>
            <w:r>
              <w:rPr/>
              <w:t>In D.00</w:t>
              <w:noBreakHyphen/>
              <w:t>11</w:t>
              <w:noBreakHyphen/>
              <w:t>001, the Commission ordered California utilities to file advice letters by November 17, 2000, adopting the CEC’s model rule (with certain changes as discussed in D. 00-11-001) and to incorporate any consensus positions from the CEC’s supplemental recommendation.  PG&amp;E says it has worked with Edison and SDG&amp;E to ensure that any changes to the recommended model rule of June 27, 2000,  incorporate the October 25 supplemental recommendations and that the recommendations are implemented in a uniform fashion by the utilities.</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2435"/>
        <w:gridCol w:w="270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2057-E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11/22/00</w:t>
            </w:r>
          </w:p>
        </w:tc>
        <w:tc>
          <w:tcPr>
            <w:tcW w:w="243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 xml:space="preserve">12/12/00 </w:t>
            </w:r>
            <w:r>
              <w:rPr>
                <w:b/>
                <w:bCs/>
                <w:color w:val="000000"/>
              </w:rPr>
              <w:t>(but no date specified)</w:t>
            </w:r>
          </w:p>
        </w:tc>
        <w:tc>
          <w:tcPr>
            <w:tcW w:w="271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b/>
                <w:bCs/>
                <w:color w:val="000000"/>
              </w:rPr>
              <w:t>PROTEST</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right" w:pos="0" w:leader="none"/>
              </w:tabs>
              <w:ind w:end="144"/>
              <w:jc w:val="both"/>
              <w:rPr>
                <w:b/>
                <w:bCs/>
                <w:color w:val="000000"/>
              </w:rPr>
            </w:pPr>
            <w:r>
              <w:rPr>
                <w:b/>
                <w:bCs/>
                <w:color w:val="000000"/>
              </w:rPr>
              <w:t>Analysis:</w:t>
            </w:r>
          </w:p>
          <w:p>
            <w:pPr>
              <w:pStyle w:val="Normal"/>
              <w:tabs>
                <w:tab w:val="clear" w:pos="720"/>
                <w:tab w:val="right" w:pos="0" w:leader="none"/>
              </w:tabs>
              <w:ind w:end="144"/>
              <w:jc w:val="both"/>
              <w:rPr>
                <w:b/>
                <w:bCs/>
                <w:color w:val="000000"/>
              </w:rPr>
            </w:pPr>
            <w:r>
              <w:rPr>
                <w:b/>
                <w:bCs/>
                <w:color w:val="000000"/>
              </w:rPr>
            </w:r>
          </w:p>
          <w:p>
            <w:pPr>
              <w:pStyle w:val="Normal"/>
              <w:tabs>
                <w:tab w:val="clear" w:pos="720"/>
                <w:tab w:val="right" w:pos="0" w:leader="none"/>
              </w:tabs>
              <w:ind w:end="144"/>
              <w:jc w:val="both"/>
              <w:rPr/>
            </w:pPr>
            <w:r>
              <w:rPr/>
              <w:t>This advice letter implements revisions to all electric rate schedules and preliminary statements to change the Company’s rates and to bill customers based on PG&amp;E’s flawed contention that the AB 1890 rate freeze has ended.  Based on accounting entries in its Transition Cost Balancing Account (TCBA), PG&amp;E says it completed recovery of its transition costs sometime before August 31, 2000, thus ending the rate freeze.  This advice letter and tariff changes is said to be filed in compliance with D.00-06-034, D.00-03-058, and D.99-10-057 in the Post-Transition Electric Ratemaking (PTER) proceeding (A. 99-01-016).  However, I believe it conflicts directly with the end of the rate freeze mechanism which was specified in that proceeding.</w:t>
            </w:r>
          </w:p>
          <w:p>
            <w:pPr>
              <w:pStyle w:val="Normal"/>
              <w:tabs>
                <w:tab w:val="clear" w:pos="720"/>
                <w:tab w:val="right" w:pos="0" w:leader="none"/>
              </w:tabs>
              <w:ind w:end="144"/>
              <w:jc w:val="both"/>
              <w:rPr/>
            </w:pPr>
            <w:r>
              <w:rPr/>
            </w:r>
          </w:p>
          <w:p>
            <w:pPr>
              <w:pStyle w:val="Normal"/>
              <w:tabs>
                <w:tab w:val="clear" w:pos="720"/>
                <w:tab w:val="right" w:pos="0" w:leader="none"/>
              </w:tabs>
              <w:ind w:end="144"/>
              <w:jc w:val="both"/>
              <w:rPr/>
            </w:pPr>
            <w:r>
              <w:rPr/>
              <w:t>The August date for ending the rate freeze is based on the valuation of PG&amp;E’s retained hydro assets of $2.8 billion, as included in the Company’s Generation Asset Balancing Account (“GABA”) filing effective June 23, 2000 as filed in Advice Letters 2048-E and 2049-E, dated October 26, 2000.  Based on current market conditions, the Company believes the actual value will be determined to be higher than $2.8 billion.  If this is the case, the rate freeze will have ended earlier and the tariffs contained herein will be revised.  If the actual value of such generation is lawfully determined to be lower, the Company will not seek recovery of any resulting undercollected CTC.</w:t>
            </w:r>
          </w:p>
          <w:p>
            <w:pPr>
              <w:pStyle w:val="Normal"/>
              <w:tabs>
                <w:tab w:val="clear" w:pos="720"/>
                <w:tab w:val="right" w:pos="0" w:leader="none"/>
              </w:tabs>
              <w:ind w:end="144"/>
              <w:jc w:val="both"/>
              <w:rPr/>
            </w:pPr>
            <w:r>
              <w:rPr/>
            </w:r>
          </w:p>
          <w:p>
            <w:pPr>
              <w:pStyle w:val="Normal"/>
              <w:tabs>
                <w:tab w:val="clear" w:pos="720"/>
                <w:tab w:val="right" w:pos="0" w:leader="none"/>
              </w:tabs>
              <w:ind w:end="144"/>
              <w:jc w:val="both"/>
              <w:rPr>
                <w:color w:val="000000"/>
              </w:rPr>
            </w:pPr>
            <w:r>
              <w:rPr/>
              <w:t>This should be protested as it is an obvious effort to get out from under their current purchased power undercollections at the expense of their ratepayers, by making a spurious claim that the rate freeze has ended.</w:t>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Heading1"/>
        <w:ind w:hanging="0" w:start="0"/>
        <w:rPr/>
      </w:pPr>
      <w:r>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2278-G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11/22/00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12/12/00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Normal"/>
              <w:widowControl/>
              <w:jc w:val="both"/>
              <w:rPr>
                <w:color w:val="000000"/>
              </w:rPr>
            </w:pPr>
            <w:r>
              <w:rPr>
                <w:color w:val="000000"/>
              </w:rPr>
              <w:t xml:space="preserve">The purpose of this filing is to submit changes to core end-use customer gas rates effective December 1, 2000. This filing is submitted in compliance with D.97-10-065, which approved monthly price changes for core gas procurement rates, and also incorporates changes to core rates pursuant to Gas Accord D. 97-08-055 and Biennial Cost Allocation Proceeding (BCAP) D. 98-06-073.  The major change is that </w:t>
            </w:r>
            <w:r>
              <w:rPr/>
              <w:t>effective December 1, 2000, the core storage rate component will be removed from core transportation rates and become a component of the core procurement rates.</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Text2"/>
        <w:widowContro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2279-G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11/22/00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12/12/00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BodyText2"/>
              <w:widowContro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color w:val="000000"/>
              </w:rPr>
              <w:t>The purpose of this filing is to revise transportation rates in PG&amp;E’s gas rate Schedules G-NT, G-30, G-WSL, and G-NGV4 to make minor changes that result from the unbundling of core storage costs, as filed separately on this date in Advice 2278-G.  The unbundling of core storage costs, authorized in Commission D.00-05-049, dated May 18, 2000, was part of the Joint Motion For Approval of Comprehensive PG&amp;E Settlement Agreement filed on January 28, 2000, in connection with Commission Investigation 99-07-003.  On July 17, 2000, the Company filed Advice 2250-G to implement D.00-05-049.</w:t>
            </w:r>
          </w:p>
          <w:p>
            <w:pPr>
              <w:pStyle w:val="BodyText2"/>
              <w:widowContro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widowControl/>
              <w:jc w:val="both"/>
              <w:rPr>
                <w:color w:val="000000"/>
              </w:rPr>
            </w:pPr>
            <w:r>
              <w:rPr/>
              <w:t>In accordance with Advice 2250-G, this filing implements noncore transportation rate changes that result from the unbundling of core storage costs from core transportation rates.  As described in Advice 2278-G, effective December 1, 2000, the core storage rate component will be removed from core transportation rates and become a component of the core procurement rates.  Unbundling the core storage costs from transportation to procurement rates has slightly increased certain costs allocated to all applicable customer classes, resulting in a slight increase in noncore transportation rates.</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Text2"/>
        <w:widowContro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BodyText2"/>
        <w:widowContro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BodyText2"/>
        <w:widowContro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BodyText2"/>
        <w:widowContro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BodyText2"/>
        <w:widowContro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BodyText2"/>
        <w:widowContro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Body"/>
        <w:widowControl/>
        <w:spacing w:before="0" w:after="240"/>
        <w:ind w:hanging="0" w:end="0"/>
        <w:jc w:val="center"/>
        <w:rPr>
          <w:rFonts w:ascii="Times New Roman;Times New Roman" w:hAnsi="Times New Roman;Times New Roman" w:eastAsia="Times New Roman;Times New Roman" w:cs="Times New Roman;Times New Roman"/>
        </w:rPr>
      </w:pPr>
      <w:r>
        <w:rPr>
          <w:rFonts w:eastAsia="Times New Roman;Times New Roman" w:cs="Times New Roman;Times New Roman"/>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3</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PG&amp;E Advice Letter Summary Chart</w:t>
    </w:r>
  </w:p>
  <w:p>
    <w:pPr>
      <w:pStyle w:val="Header"/>
      <w:widowControl/>
      <w:rPr/>
    </w:pPr>
    <w:r>
      <w:rPr/>
      <w:t>November 28,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3</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Text2">
    <w:name w:val="Body Text 2"/>
    <w:basedOn w:val="Normal"/>
    <w:qFormat/>
    <w:pPr>
      <w:jc w:val="both"/>
    </w:pPr>
    <w:rPr>
      <w:rFonts w:ascii="Arial" w:hAnsi="Arial" w:eastAsia="Arial" w:cs="Arial"/>
      <w:color w:val="FF0000"/>
    </w:rPr>
  </w:style>
  <w:style w:type="paragraph" w:styleId="Body1">
    <w:name w:val="Body1"/>
    <w:basedOn w:val="Normal"/>
    <w:qFormat/>
    <w:pPr>
      <w:spacing w:before="0" w:after="240"/>
      <w:ind w:firstLine="1440" w:start="0" w:end="0"/>
    </w:pPr>
    <w:rPr/>
  </w:style>
  <w:style w:type="paragraph" w:styleId="BlockText">
    <w:name w:val="Block Text"/>
    <w:basedOn w:val="Normal"/>
    <w:qFormat/>
    <w:pPr>
      <w:widowControl/>
      <w:tabs>
        <w:tab w:val="clear" w:pos="720"/>
        <w:tab w:val="left" w:pos="1080" w:leader="none"/>
      </w:tabs>
      <w:ind w:hanging="0" w:start="1080" w:end="864"/>
      <w:jc w:val="both"/>
    </w:pPr>
    <w:rPr>
      <w:rFonts w:ascii="Arial" w:hAnsi="Arial" w:eastAsia="Arial" w:cs="Arial"/>
      <w:i/>
      <w:iCs/>
    </w:rPr>
  </w:style>
  <w:style w:type="paragraph" w:styleId="BodyText21">
    <w:name w:val="Body Text 21"/>
    <w:basedOn w:val="Normal"/>
    <w:qFormat/>
    <w:pPr>
      <w:ind w:hanging="0" w:start="36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2000-11-28T19:07:00Z</dcterms:created>
  <dc:creator>Arter &amp; Hadden</dc:creator>
  <dc:description/>
  <dc:language>en-CA</dc:language>
  <cp:lastModifiedBy>Arter &amp; Hadden</cp:lastModifiedBy>
  <cp:lastPrinted>2000-11-15T12:13:00Z</cp:lastPrinted>
  <dcterms:modified xsi:type="dcterms:W3CDTF">2000-11-28T19:35:00Z</dcterms:modified>
  <cp:revision>7</cp:revision>
  <dc:subject/>
  <dc:title>A</dc:title>
</cp:coreProperties>
</file>