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50" w:type="dxa"/>
        <w:jc w:val="start"/>
        <w:tblInd w:w="-432" w:type="dxa"/>
        <w:tblLayout w:type="fixed"/>
        <w:tblCellMar>
          <w:top w:w="0" w:type="dxa"/>
          <w:start w:w="108" w:type="dxa"/>
          <w:bottom w:w="0" w:type="dxa"/>
          <w:end w:w="108" w:type="dxa"/>
        </w:tblCellMar>
      </w:tblPr>
      <w:tblGrid>
        <w:gridCol w:w="450"/>
        <w:gridCol w:w="1800"/>
        <w:gridCol w:w="4230"/>
        <w:gridCol w:w="1620"/>
        <w:gridCol w:w="1800"/>
        <w:gridCol w:w="450"/>
      </w:tblGrid>
      <w:tr>
        <w:trPr>
          <w:trHeight w:val="1440" w:hRule="exact"/>
        </w:trPr>
        <w:tc>
          <w:tcPr>
            <w:tcW w:w="2250" w:type="dxa"/>
            <w:gridSpan w:val="2"/>
            <w:vMerge w:val="restart"/>
            <w:tcBorders/>
          </w:tcPr>
          <w:p>
            <w:pPr>
              <w:pStyle w:val="Normal"/>
              <w:snapToGrid w:val="false"/>
              <w:rPr>
                <w:lang w:val="en-CA" w:eastAsia="en-CA"/>
              </w:rPr>
            </w:pPr>
            <w:r>
              <w:rPr>
                <w:lang w:val="en-CA" w:eastAsia="en-CA"/>
              </w:rPr>
            </w:r>
            <w:r>
              <mc:AlternateContent>
                <mc:Choice Requires="wps">
                  <w:drawing>
                    <wp:anchor behindDoc="0" distT="0" distB="0" distL="114935" distR="114935" simplePos="0" locked="0" layoutInCell="0" allowOverlap="1" relativeHeight="2">
                      <wp:simplePos x="0" y="0"/>
                      <wp:positionH relativeFrom="margin">
                        <wp:posOffset>-365760</wp:posOffset>
                      </wp:positionH>
                      <wp:positionV relativeFrom="paragraph">
                        <wp:posOffset>-12065</wp:posOffset>
                      </wp:positionV>
                      <wp:extent cx="1089660" cy="1089660"/>
                      <wp:effectExtent l="0" t="0" r="0" b="0"/>
                      <wp:wrapNone/>
                      <wp:docPr id="1" name="Frame1"/>
                      <a:graphic xmlns:a="http://schemas.openxmlformats.org/drawingml/2006/main">
                        <a:graphicData uri="http://schemas.microsoft.com/office/word/2010/wordprocessingShape">
                          <wps:wsp>
                            <wps:cNvSpPr txBox="1"/>
                            <wps:spPr>
                              <a:xfrm>
                                <a:off x="0" y="0"/>
                                <a:ext cx="1089660" cy="1089660"/>
                              </a:xfrm>
                              <a:prstGeom prst="rect"/>
                              <a:solidFill>
                                <a:srgbClr val="FFFFFF">
                                  <a:alpha val="0"/>
                                </a:srgbClr>
                              </a:solidFill>
                            </wps:spPr>
                            <wps:txbx>
                              <w:txbxContent>
                                <w:p>
                                  <w:pPr>
                                    <w:pStyle w:val="Normal"/>
                                    <w:rPr/>
                                  </w:pPr>
                                  <w:r>
                                    <w:rPr/>
                                    <w:drawing>
                                      <wp:inline distT="0" distB="0" distL="0" distR="0">
                                        <wp:extent cx="1064895" cy="10661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7476" t="32874" r="27476" b="32419"/>
                                                <a:stretch>
                                                  <a:fillRect/>
                                                </a:stretch>
                                              </pic:blipFill>
                                              <pic:spPr bwMode="auto">
                                                <a:xfrm>
                                                  <a:off x="0" y="0"/>
                                                  <a:ext cx="1064895" cy="1066165"/>
                                                </a:xfrm>
                                                <a:prstGeom prst="rect">
                                                  <a:avLst/>
                                                </a:prstGeom>
                                                <a:noFill/>
                                              </pic:spPr>
                                            </pic:pic>
                                          </a:graphicData>
                                        </a:graphic>
                                      </wp:inline>
                                    </w:drawing>
                                  </w:r>
                                </w:p>
                              </w:txbxContent>
                            </wps:txbx>
                            <wps:bodyPr anchor="t" lIns="13335" tIns="13335" rIns="13335" bIns="13335">
                              <a:noAutofit/>
                            </wps:bodyPr>
                          </wps:wsp>
                        </a:graphicData>
                      </a:graphic>
                    </wp:anchor>
                  </w:drawing>
                </mc:Choice>
                <mc:Fallback>
                  <w:pict>
                    <v:rect fillcolor="#FFFFFF" style="position:absolute;rotation:-0;width:85.8pt;height:85.8pt;mso-wrap-distance-left:9.05pt;mso-wrap-distance-right:9.05pt;mso-wrap-distance-top:0pt;mso-wrap-distance-bottom:0pt;margin-top:-0.95pt;mso-position-vertical-relative:text;margin-left:-28.8pt;mso-position-horizontal-relative:margin">
                      <v:fill opacity="0f"/>
                      <v:textbox inset="0.0145833333333333in,0.0145833333333333in,0.0145833333333333in,0.0145833333333333in">
                        <w:txbxContent>
                          <w:p>
                            <w:pPr>
                              <w:pStyle w:val="Normal"/>
                              <w:rPr/>
                            </w:pPr>
                            <w:r>
                              <w:rPr/>
                              <w:drawing>
                                <wp:inline distT="0" distB="0" distL="0" distR="0">
                                  <wp:extent cx="1064895" cy="10661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7476" t="32874" r="27476" b="32419"/>
                                          <a:stretch>
                                            <a:fillRect/>
                                          </a:stretch>
                                        </pic:blipFill>
                                        <pic:spPr bwMode="auto">
                                          <a:xfrm>
                                            <a:off x="0" y="0"/>
                                            <a:ext cx="1064895" cy="1066165"/>
                                          </a:xfrm>
                                          <a:prstGeom prst="rect">
                                            <a:avLst/>
                                          </a:prstGeom>
                                          <a:noFill/>
                                        </pic:spPr>
                                      </pic:pic>
                                    </a:graphicData>
                                  </a:graphic>
                                </wp:inline>
                              </w:drawing>
                            </w:r>
                          </w:p>
                        </w:txbxContent>
                      </v:textbox>
                      <w10:wrap type="none"/>
                    </v:rect>
                  </w:pict>
                </mc:Fallback>
              </mc:AlternateContent>
            </w:r>
          </w:p>
        </w:tc>
        <w:tc>
          <w:tcPr>
            <w:tcW w:w="5850" w:type="dxa"/>
            <w:gridSpan w:val="2"/>
            <w:tcBorders/>
          </w:tcPr>
          <w:p>
            <w:pPr>
              <w:pStyle w:val="Heading2"/>
              <w:ind w:hanging="0" w:start="0"/>
              <w:rPr>
                <w:color w:val="000000"/>
              </w:rPr>
            </w:pPr>
            <w:r>
              <w:rPr>
                <w:color w:val="000000"/>
              </w:rPr>
              <w:t>Department of Energy</w:t>
            </w:r>
          </w:p>
          <w:p>
            <w:pPr>
              <w:pStyle w:val="Normal"/>
              <w:rPr>
                <w:color w:val="000000"/>
              </w:rPr>
            </w:pPr>
            <w:r>
              <w:rPr>
                <w:color w:val="000000"/>
              </w:rPr>
            </w:r>
          </w:p>
          <w:p>
            <w:pPr>
              <w:pStyle w:val="Normal"/>
              <w:jc w:val="center"/>
              <w:rPr>
                <w:sz w:val="20"/>
              </w:rPr>
            </w:pPr>
            <w:r>
              <w:rPr>
                <w:sz w:val="20"/>
              </w:rPr>
              <w:t>Bonneville Power Administration</w:t>
              <w:br/>
              <w:t>P.O. Box 3621</w:t>
            </w:r>
          </w:p>
          <w:p>
            <w:pPr>
              <w:pStyle w:val="Normal"/>
              <w:jc w:val="center"/>
              <w:rPr>
                <w:sz w:val="20"/>
              </w:rPr>
            </w:pPr>
            <w:r>
              <w:rPr>
                <w:sz w:val="20"/>
              </w:rPr>
              <w:t>Portland, Oregon 97208-3621</w:t>
            </w:r>
          </w:p>
        </w:tc>
        <w:tc>
          <w:tcPr>
            <w:tcW w:w="2250" w:type="dxa"/>
            <w:gridSpan w:val="2"/>
            <w:tcBorders/>
          </w:tcPr>
          <w:p>
            <w:pPr>
              <w:pStyle w:val="Normal"/>
              <w:rPr>
                <w:rFonts w:ascii="Times New Roman" w:hAnsi="Times New Roman" w:cs="Times New Roman"/>
              </w:rPr>
            </w:pPr>
            <w:r>
              <w:fldChar w:fldCharType="begin">
                <w:ffData>
                  <w:name w:val="Dropdown1"/>
                  <w:enabled/>
                  <w:ddList>
                    <w:result w:val="0"/>
                    <w:listEntry w:val="                         "/>
                    <w:listEntry w:val="Adm. Chron. File"/>
                    <w:listEntry w:val="Official File "/>
                    <w:listEntry w:val="Reading File "/>
                  </w:ddList>
                </w:ffData>
              </w:fldChar>
            </w:r>
            <w:r>
              <w:rPr>
                <w:rFonts w:cs="Times New Roman" w:ascii="Times New Roman" w:hAnsi="Times New Roman"/>
                <w:lang w:val="en-CA" w:eastAsia="en-CA"/>
              </w:rPr>
              <w:instrText xml:space="preserve"> FORMDROPDOWN </w:instrText>
            </w:r>
            <w:r>
              <w:rPr>
                <w:rFonts w:cs="Times New Roman" w:ascii="Times New Roman" w:hAnsi="Times New Roman"/>
                <w:lang w:val="en-CA" w:eastAsia="en-CA"/>
              </w:rPr>
              <w:fldChar w:fldCharType="separate"/>
            </w:r>
            <w:bookmarkStart w:id="0" w:name="Dropdown1"/>
            <w:bookmarkStart w:id="1" w:name="Dropdown1"/>
            <w:bookmarkEnd w:id="1"/>
            <w:r/>
            <w:r>
              <w:rPr>
                <w:rFonts w:cs="Times New Roman" w:ascii="Times New Roman" w:hAnsi="Times New Roman"/>
                <w:lang w:val="en-CA" w:eastAsia="en-CA"/>
              </w:rPr>
              <w:fldChar w:fldCharType="end"/>
            </w:r>
            <w:r>
              <w:rPr>
                <w:rFonts w:cs="Times New Roman" w:ascii="Times New Roman" w:hAnsi="Times New Roman"/>
                <w:lang w:val="en-CA" w:eastAsia="en-CA"/>
              </w:rPr>
            </w:r>
          </w:p>
        </w:tc>
      </w:tr>
      <w:tr>
        <w:trPr>
          <w:trHeight w:val="600" w:hRule="exact"/>
        </w:trPr>
        <w:tc>
          <w:tcPr>
            <w:tcW w:w="2250" w:type="dxa"/>
            <w:gridSpan w:val="2"/>
            <w:vMerge w:val="continue"/>
            <w:tcBorders/>
          </w:tcPr>
          <w:p>
            <w:pPr>
              <w:pStyle w:val="Normal"/>
              <w:snapToGrid w:val="false"/>
              <w:rPr>
                <w:rFonts w:ascii="Times New Roman" w:hAnsi="Times New Roman" w:cs="Times New Roman"/>
              </w:rPr>
            </w:pPr>
            <w:r>
              <w:rPr>
                <w:rFonts w:cs="Times New Roman" w:ascii="Times New Roman" w:hAnsi="Times New Roman"/>
              </w:rPr>
            </w:r>
          </w:p>
        </w:tc>
        <w:tc>
          <w:tcPr>
            <w:tcW w:w="4230" w:type="dxa"/>
            <w:tcBorders/>
          </w:tcPr>
          <w:p>
            <w:pPr>
              <w:pStyle w:val="Normal"/>
              <w:snapToGrid w:val="false"/>
              <w:rPr>
                <w:rFonts w:ascii="Times New Roman" w:hAnsi="Times New Roman" w:cs="Times New Roman"/>
              </w:rPr>
            </w:pPr>
            <w:r>
              <w:rPr>
                <w:rFonts w:cs="Times New Roman" w:ascii="Times New Roman" w:hAnsi="Times New Roman"/>
              </w:rPr>
            </w:r>
          </w:p>
        </w:tc>
        <w:tc>
          <w:tcPr>
            <w:tcW w:w="3870" w:type="dxa"/>
            <w:gridSpan w:val="3"/>
            <w:tcBorders/>
          </w:tcPr>
          <w:p>
            <w:pPr>
              <w:pStyle w:val="Normal"/>
              <w:rPr>
                <w:rFonts w:ascii="Times New Roman" w:hAnsi="Times New Roman" w:cs="Times New Roman"/>
              </w:rPr>
            </w:pPr>
            <w:r>
              <w:fldChar w:fldCharType="begin">
                <w:ffData>
                  <w:name w:val="Dropdown2"/>
                  <w:enabled/>
                  <w:ddList>
                    <w:result w:val="8"/>
                    <w:listEntry w:val="                          "/>
                    <w:listEntry w:val="EXECUTIVE OFFICE"/>
                    <w:listEntry w:val="CORPORATE"/>
                    <w:listEntry w:val="    COMMUNICATIONS"/>
                    <w:listEntry w:val="    ENVIRONMENT, FISH AND WILDLIFE"/>
                    <w:listEntry w:val="    REGIONAL RELATIONS"/>
                    <w:listEntry w:val=" FINANCE"/>
                    <w:listEntry w:val="    STRATEGIC PLANNING"/>
                    <w:listEntry w:val="GENERAL COUNSEL"/>
                    <w:listEntry w:val="POWER BUSINESS LINE"/>
                    <w:listEntry w:val="    ENERGY EFFICIENCY"/>
                    <w:listEntry w:val="EMPLOYEE AND BUSINESS RESOURCES"/>
                    <w:listEntry w:val="SHARED SERVICES"/>
                    <w:listEntry w:val="TRANSMISSION BUSINESS LINE"/>
                  </w:ddList>
                </w:ffData>
              </w:fldChar>
            </w:r>
            <w:r>
              <w:rPr>
                <w:rFonts w:cs="Times New Roman" w:ascii="Times New Roman" w:hAnsi="Times New Roman"/>
              </w:rPr>
              <w:instrText xml:space="preserve"> FORMDROPDOWN </w:instrText>
            </w:r>
            <w:r>
              <w:rPr>
                <w:rFonts w:cs="Times New Roman" w:ascii="Times New Roman" w:hAnsi="Times New Roman"/>
              </w:rPr>
              <w:fldChar w:fldCharType="separate"/>
            </w:r>
            <w:bookmarkStart w:id="2" w:name="Dropdown2"/>
            <w:bookmarkStart w:id="3" w:name="Dropdown2"/>
            <w:bookmarkEnd w:id="3"/>
            <w:r/>
            <w:r>
              <w:rPr>
                <w:rFonts w:cs="Times New Roman" w:ascii="Times New Roman" w:hAnsi="Times New Roman"/>
              </w:rPr>
              <w:fldChar w:fldCharType="end"/>
            </w:r>
            <w:r>
              <w:rPr>
                <w:rFonts w:cs="Times New Roman" w:ascii="Times New Roman" w:hAnsi="Times New Roman"/>
              </w:rPr>
            </w:r>
          </w:p>
        </w:tc>
      </w:tr>
      <w:tr>
        <w:trPr/>
        <w:tc>
          <w:tcPr>
            <w:tcW w:w="450" w:type="dxa"/>
            <w:tcBorders/>
            <w:tcMar>
              <w:start w:w="0" w:type="dxa"/>
              <w:end w:w="0" w:type="dxa"/>
            </w:tcMar>
          </w:tcPr>
          <w:p>
            <w:pPr>
              <w:pStyle w:val="Normal"/>
              <w:rPr>
                <w:rFonts w:ascii="Times New Roman" w:hAnsi="Times New Roman" w:cs="Times New Roman"/>
              </w:rPr>
            </w:pPr>
            <w:r>
              <w:rPr>
                <w:rFonts w:cs="Times New Roman" w:ascii="Times New Roman" w:hAnsi="Times New Roman"/>
              </w:rPr>
            </w:r>
          </w:p>
        </w:tc>
        <w:tc>
          <w:tcPr>
            <w:tcW w:w="9450" w:type="dxa"/>
            <w:gridSpan w:val="4"/>
            <w:tcBorders/>
          </w:tcPr>
          <w:p>
            <w:pPr>
              <w:pStyle w:val="Normal"/>
              <w:rPr>
                <w:rFonts w:ascii="Times New Roman" w:hAnsi="Times New Roman" w:cs="Times New Roman"/>
                <w:sz w:val="24"/>
              </w:rPr>
            </w:pPr>
            <w:r>
              <w:fldChar w:fldCharType="begin">
                <w:ffData>
                  <w:name w:val="Text1"/>
                  <w:enabled/>
                  <w:calcOnExit w:val="0"/>
                  <w:textInput/>
                </w:ffData>
              </w:fldChar>
            </w:r>
            <w:r>
              <w:rPr>
                <w:sz w:val="24"/>
                <w:rFonts w:cs="Times New Roman" w:ascii="Times New Roman" w:hAnsi="Times New Roman"/>
                <w:lang w:val="en-CA" w:eastAsia="en-CA"/>
              </w:rPr>
              <w:instrText xml:space="preserve"> FORMTEXT </w:instrText>
            </w:r>
            <w:r>
              <w:rPr>
                <w:rFonts w:cs="Times New Roman" w:ascii="Times New Roman" w:hAnsi="Times New Roman"/>
                <w:sz w:val="24"/>
                <w:lang w:val="en-CA" w:eastAsia="en-CA"/>
              </w:rPr>
            </w:r>
            <w:r>
              <w:rPr>
                <w:sz w:val="24"/>
                <w:rFonts w:cs="Times New Roman" w:ascii="Times New Roman" w:hAnsi="Times New Roman"/>
                <w:lang w:val="en-CA" w:eastAsia="en-CA"/>
              </w:rPr>
              <w:fldChar w:fldCharType="separate"/>
            </w:r>
            <w:r>
              <w:rPr>
                <w:rFonts w:cs="Times New Roman" w:ascii="Times New Roman" w:hAnsi="Times New Roman"/>
                <w:sz w:val="24"/>
                <w:lang w:val="en-CA" w:eastAsia="en-CA"/>
              </w:rPr>
              <w:t>November 21, 2001</w:t>
            </w:r>
            <w:r/>
            <w:r>
              <w:rPr>
                <w:sz w:val="24"/>
                <w:rFonts w:cs="Times New Roman" w:ascii="Times New Roman" w:hAnsi="Times New Roman"/>
                <w:lang w:val="en-CA" w:eastAsia="en-CA"/>
              </w:rPr>
              <w:fldChar w:fldCharType="end"/>
            </w:r>
            <w:r>
              <w:rPr>
                <w:rFonts w:cs="Times New Roman" w:ascii="Times New Roman" w:hAnsi="Times New Roman"/>
                <w:sz w:val="24"/>
                <w:lang w:val="en-CA" w:eastAsia="en-CA"/>
              </w:rPr>
            </w:r>
          </w:p>
          <w:p>
            <w:pPr>
              <w:pStyle w:val="Normal"/>
              <w:rPr>
                <w:rFonts w:ascii="Times New Roman" w:hAnsi="Times New Roman" w:cs="Times New Roman"/>
                <w:b/>
                <w:sz w:val="18"/>
              </w:rPr>
            </w:pPr>
            <w:r>
              <w:rPr>
                <w:rFonts w:cs="Times New Roman" w:ascii="Times New Roman" w:hAnsi="Times New Roman"/>
                <w:b/>
                <w:sz w:val="18"/>
              </w:rPr>
            </w:r>
          </w:p>
          <w:p>
            <w:pPr>
              <w:pStyle w:val="Normal"/>
              <w:rPr>
                <w:rFonts w:ascii="Times New Roman" w:hAnsi="Times New Roman" w:cs="Times New Roman"/>
                <w:sz w:val="24"/>
              </w:rPr>
            </w:pPr>
            <w:r>
              <w:rPr>
                <w:rFonts w:cs="Times New Roman" w:ascii="Times New Roman" w:hAnsi="Times New Roman"/>
                <w:sz w:val="24"/>
              </w:rPr>
              <w:t xml:space="preserve">In reply refer to:  </w:t>
            </w:r>
            <w:r>
              <w:fldChar w:fldCharType="begin">
                <w:ffData>
                  <w:name w:val="Text2"/>
                  <w:enabled/>
                  <w:calcOnExit w:val="0"/>
                  <w:textInput/>
                </w:ffData>
              </w:fldChar>
            </w:r>
            <w:r>
              <w:rPr>
                <w:sz w:val="24"/>
                <w:rFonts w:cs="Times New Roman" w:ascii="Times New Roman" w:hAnsi="Times New Roman"/>
                <w:lang w:val="en-CA" w:eastAsia="en-CA"/>
              </w:rPr>
              <w:instrText xml:space="preserve"> FORMTEXT </w:instrText>
            </w:r>
            <w:r>
              <w:rPr>
                <w:rFonts w:cs="Times New Roman" w:ascii="Times New Roman" w:hAnsi="Times New Roman"/>
                <w:sz w:val="24"/>
                <w:lang w:val="en-CA" w:eastAsia="en-CA"/>
              </w:rPr>
            </w:r>
            <w:r>
              <w:rPr>
                <w:sz w:val="24"/>
                <w:rFonts w:cs="Times New Roman" w:ascii="Times New Roman" w:hAnsi="Times New Roman"/>
                <w:lang w:val="en-CA" w:eastAsia="en-CA"/>
              </w:rPr>
              <w:fldChar w:fldCharType="separate"/>
            </w:r>
            <w:r>
              <w:rPr>
                <w:rFonts w:cs="Times New Roman" w:ascii="Times New Roman" w:hAnsi="Times New Roman"/>
                <w:sz w:val="24"/>
                <w:lang w:val="en-CA" w:eastAsia="en-CA"/>
              </w:rPr>
              <w:t>LP-7</w:t>
            </w:r>
            <w:r/>
            <w:r>
              <w:rPr>
                <w:sz w:val="24"/>
                <w:rFonts w:cs="Times New Roman" w:ascii="Times New Roman" w:hAnsi="Times New Roman"/>
                <w:lang w:val="en-CA" w:eastAsia="en-CA"/>
              </w:rPr>
              <w:fldChar w:fldCharType="end"/>
            </w:r>
            <w:r>
              <w:rPr>
                <w:rFonts w:cs="Times New Roman" w:ascii="Times New Roman" w:hAnsi="Times New Roman"/>
                <w:sz w:val="24"/>
                <w:lang w:val="en-CA" w:eastAsia="en-CA"/>
              </w:rPr>
            </w:r>
          </w:p>
          <w:p>
            <w:pPr>
              <w:pStyle w:val="Normal"/>
              <w:rPr>
                <w:rFonts w:ascii="Times New Roman" w:hAnsi="Times New Roman" w:cs="Times New Roman"/>
                <w:sz w:val="24"/>
              </w:rPr>
            </w:pPr>
            <w:r>
              <w:rPr>
                <w:rFonts w:cs="Times New Roman" w:ascii="Times New Roman" w:hAnsi="Times New Roman"/>
                <w:sz w:val="24"/>
              </w:rPr>
            </w:r>
          </w:p>
        </w:tc>
        <w:tc>
          <w:tcPr>
            <w:tcW w:w="450" w:type="dxa"/>
            <w:tcBorders/>
            <w:tcMar>
              <w:start w:w="0" w:type="dxa"/>
              <w:end w:w="0" w:type="dxa"/>
            </w:tcMar>
          </w:tcPr>
          <w:p>
            <w:pPr>
              <w:pStyle w:val="Normal"/>
              <w:snapToGrid w:val="false"/>
              <w:rPr>
                <w:rFonts w:ascii="Times New Roman" w:hAnsi="Times New Roman" w:cs="Times New Roman"/>
                <w:sz w:val="24"/>
              </w:rPr>
            </w:pPr>
            <w:r>
              <w:rPr>
                <w:rFonts w:cs="Times New Roman" w:ascii="Times New Roman" w:hAnsi="Times New Roman"/>
                <w:sz w:val="24"/>
              </w:rPr>
            </w:r>
          </w:p>
        </w:tc>
      </w:tr>
    </w:tbl>
    <w:p>
      <w:pPr>
        <w:sectPr>
          <w:headerReference w:type="default" r:id="rId4"/>
          <w:headerReference w:type="first" r:id="rId5"/>
          <w:type w:val="continuous"/>
          <w:pgSz w:w="12240" w:h="15840"/>
          <w:pgMar w:left="1440" w:right="1440" w:gutter="0" w:header="1440" w:top="1496" w:footer="0" w:bottom="1440"/>
          <w:formProt w:val="true"/>
          <w:titlePg/>
          <w:textDirection w:val="lrTb"/>
          <w:docGrid w:type="default" w:linePitch="360" w:charSpace="0"/>
        </w:sectPr>
      </w:pPr>
    </w:p>
    <w:p>
      <w:pPr>
        <w:pStyle w:val="BODY"/>
        <w:rPr>
          <w:color w:val="000000"/>
        </w:rPr>
      </w:pPr>
      <w:r>
        <w:rPr>
          <w:color w:val="000000"/>
        </w:rPr>
      </w:r>
    </w:p>
    <w:p>
      <w:pPr>
        <w:pStyle w:val="Normal"/>
        <w:rPr>
          <w:rFonts w:ascii="Times New Roman" w:hAnsi="Times New Roman" w:cs="Times New Roman"/>
          <w:sz w:val="24"/>
        </w:rPr>
      </w:pPr>
      <w:r>
        <w:rPr>
          <w:rFonts w:cs="Times New Roman" w:ascii="Times New Roman" w:hAnsi="Times New Roman"/>
          <w:sz w:val="24"/>
        </w:rPr>
        <w:t>Mr. David P. Boergers</w:t>
      </w:r>
    </w:p>
    <w:p>
      <w:pPr>
        <w:pStyle w:val="Normal"/>
        <w:rPr>
          <w:rFonts w:ascii="Times New Roman" w:hAnsi="Times New Roman" w:cs="Times New Roman"/>
          <w:sz w:val="24"/>
        </w:rPr>
      </w:pPr>
      <w:r>
        <w:rPr>
          <w:rFonts w:cs="Times New Roman" w:ascii="Times New Roman" w:hAnsi="Times New Roman"/>
          <w:sz w:val="24"/>
        </w:rPr>
        <w:t>Secretary</w:t>
      </w:r>
    </w:p>
    <w:p>
      <w:pPr>
        <w:pStyle w:val="Normal"/>
        <w:rPr>
          <w:rFonts w:ascii="Times New Roman" w:hAnsi="Times New Roman" w:cs="Times New Roman"/>
          <w:sz w:val="24"/>
        </w:rPr>
      </w:pPr>
      <w:r>
        <w:rPr>
          <w:rFonts w:cs="Times New Roman" w:ascii="Times New Roman" w:hAnsi="Times New Roman"/>
          <w:sz w:val="24"/>
        </w:rPr>
        <w:t>Federal Energy Regulatory Commission</w:t>
      </w:r>
    </w:p>
    <w:p>
      <w:pPr>
        <w:pStyle w:val="Normal"/>
        <w:rPr>
          <w:rFonts w:ascii="Times New Roman" w:hAnsi="Times New Roman" w:cs="Times New Roman"/>
          <w:sz w:val="24"/>
        </w:rPr>
      </w:pPr>
      <w:r>
        <w:rPr>
          <w:rFonts w:cs="Times New Roman" w:ascii="Times New Roman" w:hAnsi="Times New Roman"/>
          <w:sz w:val="24"/>
        </w:rPr>
        <w:t>888 First Street, N.E.</w:t>
      </w:r>
    </w:p>
    <w:p>
      <w:pPr>
        <w:pStyle w:val="Normal"/>
        <w:rPr>
          <w:rFonts w:ascii="Times New Roman" w:hAnsi="Times New Roman" w:cs="Times New Roman"/>
          <w:sz w:val="24"/>
        </w:rPr>
      </w:pPr>
      <w:r>
        <w:rPr>
          <w:rFonts w:cs="Times New Roman" w:ascii="Times New Roman" w:hAnsi="Times New Roman"/>
          <w:sz w:val="24"/>
        </w:rPr>
        <w:t>Washington, D.C.  20426</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sz w:val="24"/>
        </w:rPr>
        <w:t>Re:</w:t>
        <w:tab/>
        <w:t xml:space="preserve">San Diego Gas &amp; Electric Company, </w:t>
      </w:r>
      <w:r>
        <w:rPr>
          <w:rFonts w:cs="Times New Roman" w:ascii="Times New Roman" w:hAnsi="Times New Roman"/>
          <w:i/>
          <w:sz w:val="24"/>
        </w:rPr>
        <w:t>et al.</w:t>
      </w:r>
    </w:p>
    <w:p>
      <w:pPr>
        <w:pStyle w:val="Normal"/>
        <w:rPr>
          <w:rFonts w:ascii="Times New Roman" w:hAnsi="Times New Roman" w:cs="Times New Roman"/>
          <w:i/>
          <w:i/>
          <w:sz w:val="24"/>
          <w:u w:val="single"/>
        </w:rPr>
      </w:pPr>
      <w:r>
        <w:rPr>
          <w:rFonts w:cs="Times New Roman" w:ascii="Times New Roman" w:hAnsi="Times New Roman"/>
          <w:sz w:val="24"/>
        </w:rPr>
        <w:tab/>
        <w:t xml:space="preserve">Docket Nos. EL00-95-045, </w:t>
      </w:r>
      <w:r>
        <w:rPr>
          <w:rFonts w:cs="Times New Roman" w:ascii="Times New Roman" w:hAnsi="Times New Roman"/>
          <w:i/>
          <w:sz w:val="24"/>
        </w:rPr>
        <w:t>et al.</w:t>
      </w:r>
    </w:p>
    <w:p>
      <w:pPr>
        <w:pStyle w:val="Normal"/>
        <w:rPr>
          <w:rFonts w:ascii="Times New Roman" w:hAnsi="Times New Roman" w:cs="Times New Roman"/>
          <w:i/>
          <w:i/>
          <w:sz w:val="24"/>
          <w:u w:val="single"/>
        </w:rPr>
      </w:pPr>
      <w:r>
        <w:rPr>
          <w:rFonts w:cs="Times New Roman" w:ascii="Times New Roman" w:hAnsi="Times New Roman"/>
          <w:i/>
          <w:sz w:val="24"/>
          <w:u w:val="single"/>
        </w:rPr>
      </w:r>
    </w:p>
    <w:p>
      <w:pPr>
        <w:pStyle w:val="Normal"/>
        <w:rPr>
          <w:rFonts w:ascii="Times New Roman" w:hAnsi="Times New Roman" w:cs="Times New Roman"/>
          <w:sz w:val="24"/>
        </w:rPr>
      </w:pPr>
      <w:r>
        <w:rPr>
          <w:rFonts w:cs="Times New Roman" w:ascii="Times New Roman" w:hAnsi="Times New Roman"/>
          <w:sz w:val="24"/>
        </w:rPr>
        <w:t>Dear Mr. Boergers: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 xml:space="preserve">In response to Judge Birchman’s November 15, 2001 order, BPA informs the Commission that no portion of the testimony of David Mills filed on November 6, 2001 was filed under seal.  The testimony and attached exhibits are not confidential.  </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
    </w:p>
    <w:p>
      <w:pPr>
        <w:pStyle w:val="Normal"/>
        <w:rPr/>
      </w:pPr>
      <w:r>
        <w:rPr>
          <w:rFonts w:cs="Times New Roman" w:ascii="Times New Roman" w:hAnsi="Times New Roman"/>
          <w:sz w:val="24"/>
        </w:rPr>
        <w:t>Very truly yours</w:t>
      </w:r>
      <w:r>
        <w:rPr/>
        <w:t>,</w:t>
      </w:r>
    </w:p>
    <w:p>
      <w:pPr>
        <w:pStyle w:val="Normal"/>
        <w:rPr/>
      </w:pPr>
      <w:r>
        <w:rPr/>
      </w:r>
    </w:p>
    <w:p>
      <w:pPr>
        <w:pStyle w:val="Normal"/>
        <w:rPr/>
      </w:pPr>
      <w:r>
        <w:rPr/>
      </w:r>
    </w:p>
    <w:p>
      <w:pPr>
        <w:pStyle w:val="BODY"/>
        <w:rPr>
          <w:color w:val="000000"/>
        </w:rPr>
      </w:pPr>
      <w:r>
        <w:rPr>
          <w:b/>
          <w:bCs/>
          <w:color w:val="000000"/>
        </w:rPr>
        <w:t>/s/ Peter J. Burger</w:t>
      </w:r>
    </w:p>
    <w:p>
      <w:pPr>
        <w:pStyle w:val="BODY"/>
        <w:rPr>
          <w:color w:val="000000"/>
        </w:rPr>
      </w:pPr>
      <w:r>
        <w:rPr>
          <w:color w:val="000000"/>
        </w:rPr>
      </w:r>
    </w:p>
    <w:p>
      <w:pPr>
        <w:pStyle w:val="BODY"/>
        <w:rPr>
          <w:color w:val="000000"/>
        </w:rPr>
      </w:pPr>
      <w:r>
        <w:rPr>
          <w:color w:val="000000"/>
        </w:rPr>
        <w:t>Peter J. Burger</w:t>
      </w:r>
    </w:p>
    <w:p>
      <w:pPr>
        <w:pStyle w:val="BODY"/>
        <w:rPr>
          <w:color w:val="000000"/>
        </w:rPr>
      </w:pPr>
      <w:r>
        <w:rPr>
          <w:color w:val="000000"/>
        </w:rPr>
        <w:t>Attorney</w:t>
      </w:r>
    </w:p>
    <w:p>
      <w:pPr>
        <w:pStyle w:val="BODY"/>
        <w:rPr>
          <w:color w:val="000000"/>
        </w:rPr>
      </w:pPr>
      <w:r>
        <w:rPr>
          <w:color w:val="000000"/>
        </w:rPr>
        <w:t>Bonneville Power Administration</w:t>
      </w:r>
    </w:p>
    <w:sectPr>
      <w:type w:val="continuous"/>
      <w:pgSz w:w="12240" w:h="15840"/>
      <w:pgMar w:left="1440" w:right="1440" w:gutter="0" w:header="1440" w:top="1496" w:footer="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rFonts w:ascii="Times New Roman" w:hAnsi="Times New Roman" w:cs="Times New Roman"/>
        <w:sz w:val="24"/>
      </w:rPr>
    </w:pPr>
    <w:r>
      <w:rPr>
        <w:rFonts w:cs="Times New Roman" w:ascii="Times New Roman" w:hAnsi="Times New Roman"/>
        <w:sz w:val="24"/>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8900" cy="20955"/>
              <wp:effectExtent l="0" t="0" r="0" b="0"/>
              <wp:wrapSquare wrapText="bothSides"/>
              <wp:docPr id="4"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0</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0</w:t>
                    </w:r>
                    <w:r>
                      <w:rPr>
                        <w:rStyle w:val="PageNumber"/>
                        <w:sz w:val="24"/>
                        <w:rFonts w:cs="Times New Roman" w:ascii="Times New Roman" w:hAnsi="Times New Roman"/>
                      </w:rPr>
                      <w:fldChar w:fldCharType="end"/>
                    </w:r>
                  </w:p>
                </w:txbxContent>
              </v:textbox>
              <w10:wrap type="square"/>
            </v:rect>
          </w:pict>
        </mc:Fallback>
      </mc:AlternateContent>
    </w:r>
  </w:p>
  <w:p>
    <w:pPr>
      <w:pStyle w:val="Header"/>
      <w:ind w:end="360"/>
      <w:rPr>
        <w:rFonts w:ascii="Times New Roman" w:hAnsi="Times New Roman" w:cs="Times New Roman"/>
        <w:sz w:val="24"/>
      </w:rPr>
    </w:pPr>
    <w:r>
      <w:rPr>
        <w:rFonts w:cs="Times New Roman" w:ascii="Times New Roman" w:hAnsi="Times New Roman"/>
        <w:sz w:val="24"/>
      </w:rPr>
    </w:r>
  </w:p>
  <w:p>
    <w:pPr>
      <w:pStyle w:val="Header"/>
      <w:ind w:end="360"/>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16"/>
      <w:szCs w:val="20"/>
      <w:lang w:val="en-US" w:bidi="ar-SA" w:eastAsia="zh-CN"/>
    </w:rPr>
  </w:style>
  <w:style w:type="paragraph" w:styleId="Heading2">
    <w:name w:val="heading 2"/>
    <w:basedOn w:val="Normal"/>
    <w:next w:val="Normal"/>
    <w:qFormat/>
    <w:pPr>
      <w:keepNext w:val="true"/>
      <w:numPr>
        <w:ilvl w:val="1"/>
        <w:numId w:val="1"/>
      </w:numPr>
      <w:jc w:val="center"/>
      <w:outlineLvl w:val="1"/>
    </w:pPr>
    <w:rPr>
      <w:b/>
      <w:color w:val="auto"/>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rPr>
      <w:rFonts w:ascii="Times New Roman" w:hAnsi="Times New Roman" w:cs="Times New Roman"/>
      <w:color w:val="0000FF"/>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portland.DOT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2001-11-21T19:58:00Z</dcterms:created>
  <dc:creator>BPA</dc:creator>
  <dc:description/>
  <dc:language>en-CA</dc:language>
  <cp:lastModifiedBy>Sarah Westenberg</cp:lastModifiedBy>
  <cp:lastPrinted>2001-11-21T14:28:00Z</cp:lastPrinted>
  <dcterms:modified xsi:type="dcterms:W3CDTF">2001-11-21T19:58:00Z</dcterms:modified>
  <cp:revision>2</cp:revision>
  <dc:subject/>
  <dc:title> </dc:title>
</cp:coreProperties>
</file>