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73" w:type="dxa"/>
        <w:jc w:val="center"/>
        <w:tblInd w:w="0" w:type="dxa"/>
        <w:tblLayout w:type="fixed"/>
        <w:tblCellMar>
          <w:top w:w="0" w:type="dxa"/>
          <w:start w:w="108" w:type="dxa"/>
          <w:bottom w:w="0" w:type="dxa"/>
          <w:end w:w="108" w:type="dxa"/>
        </w:tblCellMar>
      </w:tblPr>
      <w:tblGrid>
        <w:gridCol w:w="3067"/>
        <w:gridCol w:w="4522"/>
        <w:gridCol w:w="3384"/>
      </w:tblGrid>
      <w:tr>
        <w:trPr>
          <w:trHeight w:val="2600" w:hRule="atLeast"/>
        </w:trPr>
        <w:tc>
          <w:tcPr>
            <w:tcW w:w="3067" w:type="dxa"/>
            <w:tcBorders>
              <w:top w:val="dashed" w:sz="6" w:space="0" w:color="auto"/>
              <w:start w:val="dashed" w:sz="6" w:space="0" w:color="auto"/>
              <w:bottom w:val="dashed" w:sz="6" w:space="0" w:color="auto"/>
              <w:end w:val="dashed" w:sz="6" w:space="0" w:color="auto"/>
            </w:tcBorders>
          </w:tcPr>
          <w:p>
            <w:pPr>
              <w:pStyle w:val="LeftSide"/>
              <w:snapToGrid w:val="false"/>
              <w:spacing w:before="1200" w:after="0"/>
              <w:rPr>
                <w:rFonts w:ascii="Century Gothic" w:hAnsi="Century Gothic" w:eastAsia="Century Gothic" w:cs="Century Gothic"/>
                <w:spacing w:val="-2"/>
              </w:rPr>
            </w:pPr>
            <w:r>
              <w:rPr>
                <w:rFonts w:eastAsia="Century Gothic" w:cs="Century Gothic" w:ascii="Century Gothic" w:hAnsi="Century Gothic"/>
                <w:spacing w:val="-2"/>
              </w:rPr>
            </w:r>
          </w:p>
        </w:tc>
        <w:tc>
          <w:tcPr>
            <w:tcW w:w="4522" w:type="dxa"/>
            <w:tcBorders>
              <w:top w:val="dashed" w:sz="6" w:space="0" w:color="auto"/>
              <w:start w:val="dashed" w:sz="6" w:space="0" w:color="auto"/>
              <w:bottom w:val="dashed" w:sz="6" w:space="0" w:color="auto"/>
              <w:end w:val="dashed" w:sz="6" w:space="0" w:color="auto"/>
            </w:tcBorders>
          </w:tcPr>
          <w:p>
            <w:pPr>
              <w:pStyle w:val="Normal"/>
              <w:suppressAutoHyphens w:val="true"/>
              <w:jc w:val="center"/>
              <w:rPr>
                <w:b/>
                <w:bCs/>
                <w:spacing w:val="40"/>
                <w:sz w:val="14"/>
                <w:szCs w:val="14"/>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suppressAutoHyphens w:val="true"/>
              <w:jc w:val="center"/>
              <w:rPr>
                <w:spacing w:val="40"/>
                <w:sz w:val="14"/>
                <w:szCs w:val="14"/>
              </w:rPr>
            </w:pPr>
            <w:r>
              <w:rPr>
                <w:spacing w:val="40"/>
                <w:sz w:val="14"/>
                <w:szCs w:val="14"/>
              </w:rPr>
              <w:t>ATTORNEY AT LAW</w:t>
            </w:r>
          </w:p>
          <w:p>
            <w:pPr>
              <w:pStyle w:val="zLtrAddr"/>
              <w:rPr/>
            </w:pPr>
            <w:r>
              <w:rPr/>
              <w:t>5959 Topanga Canyon Boulevard</w:t>
            </w:r>
          </w:p>
          <w:p>
            <w:pPr>
              <w:pStyle w:val="zLtrAddr"/>
              <w:rPr/>
            </w:pPr>
            <w:r>
              <w:rPr/>
              <w:t>Suite 244</w:t>
            </w:r>
          </w:p>
          <w:p>
            <w:pPr>
              <w:pStyle w:val="zLtrAddr"/>
              <w:rPr/>
            </w:pPr>
            <w:r>
              <w:rPr/>
              <w:t>Woodland Hills, California 91367-7313</w:t>
            </w:r>
          </w:p>
          <w:p>
            <w:pPr>
              <w:pStyle w:val="zLtrAddr"/>
              <w:rPr/>
            </w:pPr>
            <w:r>
              <w:rPr>
                <w:i/>
                <w:iCs/>
                <w:position w:val="-16"/>
              </w:rPr>
              <w:t>telephone</w:t>
            </w:r>
            <w:r>
              <w:rPr>
                <w:position w:val="-16"/>
              </w:rPr>
              <w:t xml:space="preserve"> 818.596.2201</w:t>
            </w:r>
          </w:p>
          <w:p>
            <w:pPr>
              <w:pStyle w:val="zLtrAddr"/>
              <w:rPr/>
            </w:pPr>
            <w:r>
              <w:rPr>
                <w:i/>
                <w:iCs/>
                <w:position w:val="-16"/>
              </w:rPr>
              <w:t>facsimile</w:t>
            </w:r>
            <w:r>
              <w:rPr>
                <w:position w:val="-16"/>
              </w:rPr>
              <w:t xml:space="preserve"> 818.346.6502</w:t>
            </w:r>
          </w:p>
          <w:p>
            <w:pPr>
              <w:pStyle w:val="Normal"/>
              <w:suppressAutoHyphens w:val="true"/>
              <w:spacing w:before="360" w:after="0"/>
              <w:jc w:val="center"/>
              <w:rPr>
                <w:spacing w:val="-2"/>
              </w:rPr>
            </w:pPr>
            <w:r>
              <w:rPr>
                <w:spacing w:val="-2"/>
              </w:rPr>
              <w:t>November 21, 2001</w:t>
            </w:r>
          </w:p>
        </w:tc>
        <w:tc>
          <w:tcPr>
            <w:tcW w:w="3384" w:type="dxa"/>
            <w:tcBorders>
              <w:top w:val="dashed" w:sz="6" w:space="0" w:color="auto"/>
              <w:start w:val="dashed" w:sz="6" w:space="0" w:color="auto"/>
              <w:bottom w:val="dashed" w:sz="6" w:space="0" w:color="auto"/>
              <w:end w:val="dashed" w:sz="6" w:space="0" w:color="auto"/>
            </w:tcBorders>
          </w:tcPr>
          <w:p>
            <w:pPr>
              <w:pStyle w:val="Normal"/>
              <w:suppressAutoHyphens w:val="true"/>
              <w:snapToGrid w:val="false"/>
              <w:spacing w:before="200" w:after="0"/>
              <w:jc w:val="end"/>
              <w:rPr>
                <w:spacing w:val="-2"/>
                <w:sz w:val="14"/>
                <w:szCs w:val="14"/>
              </w:rPr>
            </w:pPr>
            <w:r>
              <w:rPr>
                <w:spacing w:val="-2"/>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t>Direct Dial: (818) 596-2201</w:t>
              <w:br/>
              <w:t>Email: douglass@energyattorney.com</w:t>
            </w:r>
          </w:p>
        </w:tc>
      </w:tr>
    </w:tbl>
    <w:p>
      <w:pPr>
        <w:pStyle w:val="Normal"/>
        <w:rPr/>
      </w:pPr>
      <w:r>
        <w:rPr/>
      </w:r>
    </w:p>
    <w:p>
      <w:pPr>
        <w:pStyle w:val="Normal"/>
        <w:rPr>
          <w:b/>
          <w:bCs/>
        </w:rPr>
      </w:pPr>
      <w:r>
        <w:rPr>
          <w:b/>
          <w:bCs/>
        </w:rPr>
        <w:t>VIA EMAIL AND FEDEX</w:t>
      </w:r>
    </w:p>
    <w:p>
      <w:pPr>
        <w:pStyle w:val="Normal"/>
        <w:rPr>
          <w:b/>
          <w:bCs/>
        </w:rPr>
      </w:pPr>
      <w:r>
        <w:rPr>
          <w:b/>
          <w:bCs/>
        </w:rPr>
      </w:r>
    </w:p>
    <w:p>
      <w:pPr>
        <w:pStyle w:val="Normal"/>
        <w:rPr/>
      </w:pPr>
      <w:r>
        <w:rPr/>
        <w:t>Mr. Kevin Coughlan</w:t>
      </w:r>
    </w:p>
    <w:p>
      <w:pPr>
        <w:pStyle w:val="Normal"/>
        <w:rPr/>
      </w:pPr>
      <w:r>
        <w:rPr/>
        <w:t>IMC Branch Chief</w:t>
      </w:r>
    </w:p>
    <w:p>
      <w:pPr>
        <w:pStyle w:val="Normal"/>
        <w:rPr/>
      </w:pPr>
      <w:r>
        <w:rPr/>
        <w:t>Energy Division</w:t>
      </w:r>
    </w:p>
    <w:p>
      <w:pPr>
        <w:pStyle w:val="Normal"/>
        <w:rPr/>
      </w:pPr>
      <w:r>
        <w:rPr/>
        <w:t>California Public Utilities Commission</w:t>
      </w:r>
    </w:p>
    <w:p>
      <w:pPr>
        <w:pStyle w:val="Normal"/>
        <w:rPr/>
      </w:pPr>
      <w:r>
        <w:rPr/>
        <w:t>505 Van Ness Avenue, Room 4002</w:t>
      </w:r>
    </w:p>
    <w:p>
      <w:pPr>
        <w:pStyle w:val="Normal"/>
        <w:rPr/>
      </w:pPr>
      <w:r>
        <w:rPr/>
        <w:t>San Francisco, CA  94102</w:t>
      </w:r>
    </w:p>
    <w:p>
      <w:pPr>
        <w:pStyle w:val="Normal"/>
        <w:rPr/>
      </w:pPr>
      <w:r>
        <w:rPr/>
      </w:r>
    </w:p>
    <w:p>
      <w:pPr>
        <w:pStyle w:val="Normal"/>
        <w:ind w:hanging="540" w:start="3420" w:end="0"/>
        <w:jc w:val="both"/>
        <w:rPr/>
      </w:pPr>
      <w:r>
        <w:rPr/>
        <w:t>Re:</w:t>
        <w:tab/>
      </w:r>
      <w:r>
        <w:rPr>
          <w:color w:val="000000"/>
        </w:rPr>
        <w:t xml:space="preserve">Southern California Gas Company Advice Letter 2837-A, </w:t>
      </w:r>
      <w:r>
        <w:rPr/>
        <w:t xml:space="preserve">Supplemental Filing - Revised Rule 30, Transportation of </w:t>
      </w:r>
      <w:r>
        <w:rPr>
          <w:u w:val="single"/>
        </w:rPr>
        <w:t>Customer- Owned Gas</w:t>
        <w:tab/>
        <w:tab/>
        <w:tab/>
        <w:tab/>
        <w:tab/>
        <w:tab/>
      </w:r>
    </w:p>
    <w:p>
      <w:pPr>
        <w:pStyle w:val="Normal"/>
        <w:rPr>
          <w:u w:val="single"/>
        </w:rPr>
      </w:pPr>
      <w:r>
        <w:rPr>
          <w:u w:val="single"/>
        </w:rPr>
      </w:r>
    </w:p>
    <w:p>
      <w:pPr>
        <w:pStyle w:val="Normal"/>
        <w:rPr/>
      </w:pPr>
      <w:r>
        <w:rPr/>
        <w:t>Dear Mr. Coughlan:</w:t>
      </w:r>
    </w:p>
    <w:p>
      <w:pPr>
        <w:pStyle w:val="Normal"/>
        <w:rPr/>
      </w:pPr>
      <w:r>
        <w:rPr/>
      </w:r>
    </w:p>
    <w:p>
      <w:pPr>
        <w:pStyle w:val="Normal"/>
        <w:ind w:firstLine="720" w:end="0"/>
        <w:jc w:val="both"/>
        <w:rPr/>
      </w:pPr>
      <w:r>
        <w:rPr/>
        <w:t>Transwestern Pipeline Company (“Transwestern”) provides these comments with regard to the November 1, 2001, filing by Southern California Gas Company (“SoCalGas”) of its Advice Letter 2837-A.  During the Gas Industry Restructuring (“GIR”) panel hearings, several parties requested that SoCalGas publish the windowing criteria applicable to the operation of its receipt point system.  In order to facilitate a better understanding of the method used by SoCalGas to allocate receipt point capacity, SoCalGas agreed to make such a filing.  Additionally, Commission Decision 99-07-015 directed SoCalGas to file an advice letter adding windowing information to its tariffs</w:t>
      </w:r>
      <w:r>
        <w:rPr>
          <w:rFonts w:eastAsia="Arial" w:cs="Arial" w:ascii="Arial" w:hAnsi="Arial"/>
          <w:sz w:val="22"/>
          <w:szCs w:val="22"/>
        </w:rPr>
        <w:t xml:space="preserve">.  </w:t>
      </w:r>
      <w:r>
        <w:rPr/>
        <w:t xml:space="preserve">On August 6, 1999, SoCalGas filed its original Advice No. 2837, which described certain proposed changes to Rule 30, Transportation of Customer-Owned Gas.  The Commission has never acted upon this original filing.  As noted by SoCalGas, this amended advice filing is intended to replaces in their entirety the changes proposed by the original Advice Letter 2837. </w:t>
      </w:r>
    </w:p>
    <w:p>
      <w:pPr>
        <w:pStyle w:val="Normal"/>
        <w:ind w:firstLine="720" w:end="0"/>
        <w:jc w:val="both"/>
        <w:rPr/>
      </w:pPr>
      <w:r>
        <w:rPr/>
      </w:r>
    </w:p>
    <w:p>
      <w:pPr>
        <w:pStyle w:val="Normal"/>
        <w:ind w:firstLine="720" w:end="0"/>
        <w:jc w:val="both"/>
        <w:rPr/>
      </w:pPr>
      <w:r>
        <w:rPr/>
        <w:t>Transwestern believes that advice filing 2837-A is a positive step in the right direction by SoCalGas.  It has been clear that parties have sought greater clarity and precision with regard to the operation of the utility’s windowing procedures.  The need has been clear for an implementation system that would be more easily understood, so that any allocations imposed by the utility would not be subject to misinterpretation.  The modified advice letter represents a positive interim step that can be in effect until it is replaced with a system of firm tradable intrastate transmission rights in GIR proceeding, Docket No. I.99-07-003.</w:t>
      </w:r>
    </w:p>
    <w:p>
      <w:pPr>
        <w:pStyle w:val="Normal"/>
        <w:ind w:firstLine="720" w:end="0"/>
        <w:jc w:val="both"/>
        <w:rPr/>
      </w:pPr>
      <w:r>
        <w:rPr/>
      </w:r>
    </w:p>
    <w:p>
      <w:pPr>
        <w:pStyle w:val="Normal"/>
        <w:ind w:firstLine="720" w:end="0"/>
        <w:jc w:val="both"/>
        <w:rPr/>
      </w:pPr>
      <w:r>
        <w:rPr/>
        <w:t>Transwestern has a significant interest in the operation of the SoCalGas receipt point allocation system, due to Transwestern’s status as a significant upstream provider of natural gas deliveries into the SoCalGas system.  Actions taken by SoCalGas directly affect Transwestern’s own operations and the arrangements it has with its shippers.  Transwestern therefore wishes to note that the system implemented by SoCalGas on November 1 has a certain flaw that needs to be corrected.</w:t>
      </w:r>
    </w:p>
    <w:p>
      <w:pPr>
        <w:pStyle w:val="Normal"/>
        <w:ind w:firstLine="720" w:end="0"/>
        <w:jc w:val="both"/>
        <w:rPr/>
      </w:pPr>
      <w:r>
        <w:rPr/>
      </w:r>
    </w:p>
    <w:p>
      <w:pPr>
        <w:pStyle w:val="Normal"/>
        <w:ind w:firstLine="720" w:end="0"/>
        <w:jc w:val="both"/>
        <w:rPr/>
      </w:pPr>
      <w:r>
        <w:rPr/>
        <w:t>In instances where SoCalGas happens to issue an Operational Flow Order (“OFO”) during the Intraday 2 cycle, it can cause Transwestern to have Shipper imbalances because it does not afford Transwestern an opportunity to pass along these reductions to our upstream parties.  When an OFO is issued in the Intraday 2 Cycle, an allocation is passed to Transwestern through the confirmation process with SoCalGas.  Due to the timing of these OFO’s, Transwestern is unable to confirm such reductions with Transwestern's upstream parties.</w:t>
      </w:r>
    </w:p>
    <w:p>
      <w:pPr>
        <w:pStyle w:val="Normal"/>
        <w:ind w:firstLine="720" w:end="0"/>
        <w:jc w:val="both"/>
        <w:rPr/>
      </w:pPr>
      <w:r>
        <w:rPr/>
      </w:r>
    </w:p>
    <w:p>
      <w:pPr>
        <w:pStyle w:val="Normal"/>
        <w:ind w:firstLine="720" w:end="0"/>
        <w:jc w:val="both"/>
        <w:rPr/>
      </w:pPr>
      <w:r>
        <w:rPr/>
        <w:t xml:space="preserve">This causes problematical results, because shippers delivering gas into the Transwestern system for ultimate redelivery to SoCalGas require timely information from Transwestern in order that they may have their deliveries properly match the available capacity on </w:t>
      </w:r>
      <w:r>
        <w:rPr>
          <w:u w:val="single"/>
        </w:rPr>
        <w:t>both</w:t>
      </w:r>
      <w:r>
        <w:rPr/>
        <w:t xml:space="preserve"> the Transwestern and SoCalGas systems.  Transwestern is engaged in discussions with SoCalGas with regard to this issue and hopes that such discussions will prove to be fruitful.  However, Transwestern wishes to call this issue to the attention of the Energy Division so that it may assist in finding a resolution to this matter which is amenable to both parties and in the best interests of all shippers on both the SoCalGas and Transwestern systems.</w:t>
      </w:r>
    </w:p>
    <w:p>
      <w:pPr>
        <w:pStyle w:val="WW-BodyText21"/>
        <w:spacing w:lineRule="auto" w:line="240"/>
        <w:rPr/>
      </w:pPr>
      <w:r>
        <w:rPr/>
      </w:r>
    </w:p>
    <w:p>
      <w:pPr>
        <w:pStyle w:val="Normal"/>
        <w:ind w:firstLine="720" w:end="0"/>
        <w:jc w:val="both"/>
        <w:rPr/>
      </w:pPr>
      <w:r>
        <w:rPr/>
        <w:t>Thank you for your consideration of our views.</w:t>
      </w:r>
    </w:p>
    <w:p>
      <w:pPr>
        <w:pStyle w:val="Normal"/>
        <w:ind w:firstLine="720" w:start="3600" w:end="0"/>
        <w:rPr/>
      </w:pPr>
      <w:r>
        <w:rPr/>
      </w:r>
    </w:p>
    <w:p>
      <w:pPr>
        <w:pStyle w:val="Normal"/>
        <w:ind w:firstLine="720" w:start="3600" w:end="0"/>
        <w:rPr/>
      </w:pPr>
      <w:r>
        <w:rPr/>
        <w:t>Sincerely yours,</w:t>
      </w:r>
    </w:p>
    <w:p>
      <w:pPr>
        <w:pStyle w:val="Normal"/>
        <w:ind w:start="720" w:end="0"/>
        <w:rPr/>
      </w:pPr>
      <w:r>
        <w:rPr/>
      </w:r>
    </w:p>
    <w:p>
      <w:pPr>
        <w:pStyle w:val="Normal"/>
        <w:ind w:start="720" w:end="0"/>
        <w:rPr/>
      </w:pPr>
      <w:r>
        <w:rPr/>
        <w:tab/>
        <w:tab/>
        <w:tab/>
        <w:tab/>
        <w:tab/>
      </w:r>
    </w:p>
    <w:p>
      <w:pPr>
        <w:pStyle w:val="Normal"/>
        <w:ind w:start="720" w:end="0"/>
        <w:rPr/>
      </w:pPr>
      <w:r>
        <w:rPr/>
      </w:r>
    </w:p>
    <w:p>
      <w:pPr>
        <w:pStyle w:val="Normal"/>
        <w:ind w:firstLine="720" w:start="3600" w:end="0"/>
        <w:rPr/>
      </w:pPr>
      <w:r>
        <w:rPr/>
        <w:t>Daniel W. Douglass</w:t>
        <w:br/>
        <w:tab/>
        <w:t>Counsel for Transwestern Pipeline Company</w:t>
      </w:r>
    </w:p>
    <w:p>
      <w:pPr>
        <w:pStyle w:val="Normal"/>
        <w:ind w:firstLine="720" w:start="3600" w:end="0"/>
        <w:rPr/>
      </w:pPr>
      <w:r>
        <w:rPr/>
      </w:r>
      <w:r>
        <w:br w:type="page"/>
      </w:r>
    </w:p>
    <w:p>
      <w:pPr>
        <w:pStyle w:val="Normal"/>
        <w:rPr/>
      </w:pPr>
      <w:r>
        <w:rPr/>
        <w:t>cc:</w:t>
        <w:tab/>
        <w:t>Sid Newsom - Regulatory Tariff Administration - Southern California Gas Company</w:t>
      </w:r>
    </w:p>
    <w:p>
      <w:pPr>
        <w:pStyle w:val="Normal"/>
        <w:rPr/>
      </w:pPr>
      <w:r>
        <w:rPr/>
        <w:tab/>
        <w:t>C. Richard Swanson - Regulatory Tariff Manager – Sempra Energy</w:t>
      </w:r>
    </w:p>
    <w:p>
      <w:pPr>
        <w:pStyle w:val="EndnoteText"/>
        <w:rPr/>
      </w:pPr>
      <w:r>
        <w:rPr/>
        <w:tab/>
        <w:t>Mr. Paul Clanon - CPUC Energy Division</w:t>
      </w:r>
    </w:p>
    <w:p>
      <w:pPr>
        <w:pStyle w:val="EndnoteText"/>
        <w:ind w:firstLine="720" w:end="0"/>
        <w:rPr/>
      </w:pPr>
      <w:r>
        <w:rPr/>
        <w:t>President Loretta Lynch</w:t>
      </w:r>
    </w:p>
    <w:p>
      <w:pPr>
        <w:pStyle w:val="EndnoteText"/>
        <w:ind w:firstLine="720" w:end="0"/>
        <w:rPr/>
      </w:pPr>
      <w:r>
        <w:rPr/>
        <w:t>Commissioner Richard A. Bilas</w:t>
      </w:r>
    </w:p>
    <w:p>
      <w:pPr>
        <w:pStyle w:val="EndnoteText"/>
        <w:rPr/>
      </w:pPr>
      <w:r>
        <w:rPr/>
        <w:tab/>
        <w:t>Commissioner Geoffrey F. Brown</w:t>
      </w:r>
    </w:p>
    <w:p>
      <w:pPr>
        <w:pStyle w:val="EndnoteText"/>
        <w:ind w:firstLine="720" w:end="0"/>
        <w:rPr/>
      </w:pPr>
      <w:r>
        <w:rPr/>
        <w:t>Commissioner Henry M. Duque</w:t>
      </w:r>
    </w:p>
    <w:p>
      <w:pPr>
        <w:pStyle w:val="EndnoteText"/>
        <w:rPr/>
      </w:pPr>
      <w:r>
        <w:rPr/>
        <w:tab/>
        <w:t>Commissioner Carl W. Wood</w:t>
      </w:r>
    </w:p>
    <w:p>
      <w:pPr>
        <w:pStyle w:val="EndnoteText"/>
        <w:rPr/>
      </w:pPr>
      <w:r>
        <w:rPr/>
      </w:r>
    </w:p>
    <w:p>
      <w:pPr>
        <w:pStyle w:val="EndnoteText"/>
        <w:rPr>
          <w:b/>
          <w:bCs/>
        </w:rPr>
      </w:pPr>
      <w:r>
        <w:rPr>
          <w:b/>
          <w:bCs/>
        </w:rPr>
        <w:t>[NOTE: It is optional to cc the Commissioners.]</w:t>
      </w:r>
    </w:p>
    <w:sectPr>
      <w:headerReference w:type="default" r:id="rId2"/>
      <w:headerReference w:type="first" r:id="rId3"/>
      <w:type w:val="nextPage"/>
      <w:pgSz w:w="12240" w:h="15840"/>
      <w:pgMar w:left="1440" w:right="1440" w:gutter="0" w:header="1296" w:top="1352" w:footer="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Palatino">
    <w:altName w:val="Book Antiqua"/>
    <w:charset w:val="01"/>
    <w:family w:val="roman"/>
    <w:pitch w:val="variable"/>
  </w:font>
  <w:font w:name="Courier New">
    <w:charset w:val="01"/>
    <w:family w:val="modern"/>
    <w:pitch w:val="default"/>
  </w:font>
  <w:font w:name="Century Gothic">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10" w:leader="none"/>
      </w:tabs>
      <w:suppressAutoHyphens w:val="true"/>
      <w:rPr/>
    </w:pPr>
    <w:r>
      <w:rPr/>
    </w:r>
    <w:r>
      <mc:AlternateContent>
        <mc:Choice Requires="wps">
          <w:drawing>
            <wp:anchor behindDoc="0" distT="0" distB="0" distL="237490" distR="237490" simplePos="0" locked="0" layoutInCell="0" allowOverlap="1" relativeHeight="3">
              <wp:simplePos x="0" y="0"/>
              <wp:positionH relativeFrom="page">
                <wp:posOffset>2753995</wp:posOffset>
              </wp:positionH>
              <wp:positionV relativeFrom="page">
                <wp:posOffset>269875</wp:posOffset>
              </wp:positionV>
              <wp:extent cx="2304415" cy="728980"/>
              <wp:effectExtent l="0" t="0" r="0" b="0"/>
              <wp:wrapTopAndBottom/>
              <wp:docPr id="1" name="Frame1"/>
              <a:graphic xmlns:a="http://schemas.openxmlformats.org/drawingml/2006/main">
                <a:graphicData uri="http://schemas.microsoft.com/office/word/2010/wordprocessingShape">
                  <wps:wsp>
                    <wps:cNvSpPr txBox="1"/>
                    <wps:spPr>
                      <a:xfrm>
                        <a:off x="0" y="0"/>
                        <a:ext cx="2304415" cy="728980"/>
                      </a:xfrm>
                      <a:prstGeom prst="rect"/>
                      <a:solidFill>
                        <a:srgbClr val="FFFFFF">
                          <a:alpha val="0"/>
                        </a:srgbClr>
                      </a:solidFill>
                    </wps:spPr>
                    <wps:txbx>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wps:txbx>
                    <wps:bodyPr anchor="t" lIns="0" tIns="0" rIns="0" bIns="0">
                      <a:noAutofit/>
                    </wps:bodyPr>
                  </wps:wsp>
                </a:graphicData>
              </a:graphic>
            </wp:anchor>
          </w:drawing>
        </mc:Choice>
        <mc:Fallback>
          <w:pict>
            <v:rect fillcolor="#FFFFFF" style="position:absolute;rotation:-0;width:181.45pt;height:57.4pt;mso-wrap-distance-left:18.7pt;mso-wrap-distance-right:18.7pt;mso-wrap-distance-top:0pt;mso-wrap-distance-bottom:0pt;margin-top:21.25pt;mso-position-vertical-relative:page;margin-left:216.85pt;mso-position-horizontal-relative:page">
              <v:fill opacity="0f"/>
              <v:textbox inset="0in,0in,0in,0in">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v:textbox>
              <w10:wrap type="topAndBottom"/>
            </v:rect>
          </w:pict>
        </mc:Fallback>
      </mc:AlternateContent>
    </w:r>
  </w:p>
  <w:p>
    <w:pPr>
      <w:pStyle w:val="Normal"/>
      <w:tabs>
        <w:tab w:val="clear" w:pos="720"/>
        <w:tab w:val="right" w:pos="8910" w:leader="none"/>
      </w:tabs>
      <w:suppressAutoHyphens w:val="true"/>
      <w:rPr/>
    </w:pPr>
    <w:r>
      <w:rPr/>
      <w:t>Mr. Kevin Coughlan</w:t>
    </w:r>
  </w:p>
  <w:p>
    <w:pPr>
      <w:pStyle w:val="Normal"/>
      <w:tabs>
        <w:tab w:val="clear" w:pos="720"/>
        <w:tab w:val="right" w:pos="8910" w:leader="none"/>
      </w:tabs>
      <w:suppressAutoHyphens w:val="true"/>
      <w:rPr/>
    </w:pPr>
    <w:r>
      <w:rPr/>
      <w:t>November 21, 2001</w:t>
    </w:r>
  </w:p>
  <w:p>
    <w:pPr>
      <w:pStyle w:val="Normal"/>
      <w:tabs>
        <w:tab w:val="clear" w:pos="720"/>
        <w:tab w:val="right" w:pos="8910" w:leader="none"/>
      </w:tabs>
      <w:suppressAutoHyphens w:val="true"/>
      <w:rPr/>
    </w:pPr>
    <w:r>
      <w:rPr/>
      <w:t xml:space="preserve">Page </w:t>
    </w:r>
    <w:r>
      <w:rPr/>
      <w:fldChar w:fldCharType="begin"/>
    </w:r>
    <w:r>
      <w:rPr/>
      <w:instrText xml:space="preserve"> PAGE \* ARABIC </w:instrText>
    </w:r>
    <w:r>
      <w:rPr/>
      <w:fldChar w:fldCharType="separate"/>
    </w:r>
    <w:r>
      <w:rPr/>
      <w:t>3</w:t>
    </w:r>
    <w:r>
      <w:rPr/>
      <w:fldChar w:fldCharType="end"/>
    </w:r>
  </w:p>
  <w:p>
    <w:pPr>
      <w:pStyle w:val="Normal"/>
      <w:tabs>
        <w:tab w:val="clear" w:pos="720"/>
        <w:tab w:val="left" w:pos="-720" w:leader="none"/>
      </w:tabs>
      <w:suppressAutoHyphens w:val="tru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Lines/>
      <w:numPr>
        <w:ilvl w:val="0"/>
        <w:numId w:val="1"/>
      </w:numPr>
      <w:ind w:hanging="720" w:start="720" w:end="0"/>
      <w:jc w:val="center"/>
      <w:outlineLvl w:val="0"/>
    </w:pPr>
    <w:rPr>
      <w:b/>
      <w:bCs/>
    </w:rPr>
  </w:style>
  <w:style w:type="paragraph" w:styleId="Heading2">
    <w:name w:val="heading 2"/>
    <w:basedOn w:val="Normal"/>
    <w:next w:val="Normal"/>
    <w:qFormat/>
    <w:pPr>
      <w:numPr>
        <w:ilvl w:val="1"/>
        <w:numId w:val="1"/>
      </w:numPr>
      <w:ind w:hanging="720" w:start="1440" w:end="720"/>
      <w:outlineLvl w:val="1"/>
    </w:pPr>
    <w:rPr>
      <w:b/>
      <w:bCs/>
    </w:rPr>
  </w:style>
  <w:style w:type="paragraph" w:styleId="Heading3">
    <w:name w:val="heading 3"/>
    <w:basedOn w:val="Normal"/>
    <w:next w:val="Normal"/>
    <w:qFormat/>
    <w:pPr>
      <w:numPr>
        <w:ilvl w:val="2"/>
        <w:numId w:val="1"/>
      </w:numPr>
      <w:ind w:hanging="720" w:start="2160" w:end="1440"/>
      <w:outlineLvl w:val="2"/>
    </w:pPr>
    <w:rPr>
      <w:b/>
      <w:bCs/>
    </w:rPr>
  </w:style>
  <w:style w:type="paragraph" w:styleId="Heading4">
    <w:name w:val="heading 4"/>
    <w:basedOn w:val="Normal"/>
    <w:next w:val="Normal"/>
    <w:qFormat/>
    <w:pPr>
      <w:numPr>
        <w:ilvl w:val="3"/>
        <w:numId w:val="1"/>
      </w:numPr>
      <w:ind w:hanging="720" w:start="2880" w:end="1440"/>
      <w:outlineLvl w:val="3"/>
    </w:pPr>
    <w:rPr>
      <w:b/>
      <w:bCs/>
    </w:rPr>
  </w:style>
  <w:style w:type="paragraph" w:styleId="Heading5">
    <w:name w:val="heading 5"/>
    <w:basedOn w:val="Normal"/>
    <w:next w:val="Normal"/>
    <w:qFormat/>
    <w:pPr>
      <w:numPr>
        <w:ilvl w:val="4"/>
        <w:numId w:val="1"/>
      </w:numPr>
      <w:ind w:hanging="720" w:start="3600" w:end="1440"/>
      <w:outlineLvl w:val="4"/>
    </w:pPr>
    <w:rPr>
      <w:b/>
      <w:bCs/>
    </w:rPr>
  </w:style>
  <w:style w:type="paragraph" w:styleId="Heading6">
    <w:name w:val="heading 6"/>
    <w:basedOn w:val="Normal"/>
    <w:next w:val="Normal"/>
    <w:qFormat/>
    <w:pPr>
      <w:numPr>
        <w:ilvl w:val="5"/>
        <w:numId w:val="1"/>
      </w:numPr>
      <w:ind w:hanging="720" w:start="4320" w:end="72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b/>
      <w:bCs/>
      <w:vertAlign w:val="superscrip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PageNumber">
    <w:name w:val="page number"/>
    <w:basedOn w:val="DefaultParagraphFont"/>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TOC1">
    <w:name w:val="toc 1"/>
    <w:basedOn w:val="Normal"/>
    <w:next w:val="Normal"/>
    <w:pPr>
      <w:tabs>
        <w:tab w:val="left" w:pos="720" w:leader="none"/>
        <w:tab w:val="right" w:pos="8928" w:leader="dot"/>
      </w:tabs>
    </w:pPr>
    <w:rPr/>
  </w:style>
  <w:style w:type="paragraph" w:styleId="TOC2">
    <w:name w:val="toc 2"/>
    <w:basedOn w:val="Normal"/>
    <w:next w:val="Normal"/>
    <w:pPr>
      <w:tabs>
        <w:tab w:val="clear" w:pos="720"/>
        <w:tab w:val="left" w:pos="1440" w:leader="none"/>
        <w:tab w:val="right" w:pos="8928" w:leader="dot"/>
      </w:tabs>
      <w:ind w:hanging="0" w:start="720" w:end="0"/>
    </w:pPr>
    <w:rPr/>
  </w:style>
  <w:style w:type="paragraph" w:styleId="TOC3">
    <w:name w:val="toc 3"/>
    <w:basedOn w:val="Normal"/>
    <w:next w:val="Normal"/>
    <w:pPr>
      <w:tabs>
        <w:tab w:val="clear" w:pos="720"/>
        <w:tab w:val="left" w:pos="2160" w:leader="none"/>
        <w:tab w:val="right" w:pos="8928" w:leader="dot"/>
      </w:tabs>
      <w:ind w:hanging="0" w:start="1440" w:end="0"/>
    </w:pPr>
    <w:rPr/>
  </w:style>
  <w:style w:type="paragraph" w:styleId="TOC4">
    <w:name w:val="toc 4"/>
    <w:basedOn w:val="Normal"/>
    <w:next w:val="Normal"/>
    <w:pPr>
      <w:tabs>
        <w:tab w:val="clear" w:pos="720"/>
        <w:tab w:val="left" w:pos="2880" w:leader="none"/>
        <w:tab w:val="right" w:pos="8928" w:leader="dot"/>
      </w:tabs>
      <w:ind w:hanging="0" w:start="2160" w:end="0"/>
    </w:pPr>
    <w:rPr/>
  </w:style>
  <w:style w:type="paragraph" w:styleId="TOC5">
    <w:name w:val="toc 5"/>
    <w:basedOn w:val="Normal"/>
    <w:next w:val="Normal"/>
    <w:pPr>
      <w:tabs>
        <w:tab w:val="clear" w:pos="720"/>
        <w:tab w:val="left" w:pos="3600" w:leader="none"/>
        <w:tab w:val="right" w:pos="8928" w:leader="dot"/>
      </w:tabs>
      <w:ind w:hanging="0" w:start="2880" w:end="0"/>
    </w:pPr>
    <w:rPr/>
  </w:style>
  <w:style w:type="paragraph" w:styleId="TOC6">
    <w:name w:val="toc 6"/>
    <w:basedOn w:val="Normal"/>
    <w:next w:val="Normal"/>
    <w:pPr>
      <w:tabs>
        <w:tab w:val="clear" w:pos="720"/>
        <w:tab w:val="left" w:pos="4320" w:leader="none"/>
        <w:tab w:val="right" w:pos="8928" w:leader="dot"/>
      </w:tabs>
      <w:ind w:hanging="0" w:start="3600" w:end="0"/>
    </w:pPr>
    <w:rPr/>
  </w:style>
  <w:style w:type="paragraph" w:styleId="TOC7">
    <w:name w:val="toc 7"/>
    <w:basedOn w:val="Normal"/>
    <w:next w:val="Normal"/>
    <w:pPr>
      <w:tabs>
        <w:tab w:val="clear" w:pos="720"/>
        <w:tab w:val="left" w:pos="5040" w:leader="none"/>
        <w:tab w:val="right" w:pos="8928" w:leader="dot"/>
      </w:tabs>
      <w:ind w:hanging="0" w:start="4320" w:end="0"/>
    </w:pPr>
    <w:rPr/>
  </w:style>
  <w:style w:type="paragraph" w:styleId="TOC8">
    <w:name w:val="toc 8"/>
    <w:basedOn w:val="Normal"/>
    <w:next w:val="Normal"/>
    <w:pPr>
      <w:tabs>
        <w:tab w:val="clear" w:pos="720"/>
        <w:tab w:val="left" w:pos="5760" w:leader="none"/>
        <w:tab w:val="right" w:pos="8928" w:leader="dot"/>
      </w:tabs>
      <w:ind w:hanging="0" w:start="5040" w:end="0"/>
    </w:pPr>
    <w:rPr/>
  </w:style>
  <w:style w:type="paragraph" w:styleId="TOC9">
    <w:name w:val="toc 9"/>
    <w:basedOn w:val="Normal"/>
    <w:next w:val="Normal"/>
    <w:pPr>
      <w:tabs>
        <w:tab w:val="clear" w:pos="720"/>
        <w:tab w:val="left" w:pos="6480" w:leader="none"/>
        <w:tab w:val="right" w:pos="8928" w:leader="dot"/>
      </w:tabs>
      <w:ind w:hanging="0" w:start="5760" w:end="0"/>
    </w:pPr>
    <w:rPr/>
  </w:style>
  <w:style w:type="paragraph" w:styleId="Table">
    <w:name w:val="Table"/>
    <w:basedOn w:val="Normal"/>
    <w:qFormat/>
    <w:pPr>
      <w:spacing w:before="40" w:after="4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ingTitle">
    <w:name w:val="Heading Title"/>
    <w:basedOn w:val="Normal"/>
    <w:next w:val="Body"/>
    <w:qFormat/>
    <w:pPr>
      <w:keepNext w:val="true"/>
      <w:keepLines/>
      <w:spacing w:before="0" w:after="240"/>
      <w:jc w:val="center"/>
    </w:pPr>
    <w:rPr>
      <w:u w:val="single"/>
    </w:rPr>
  </w:style>
  <w:style w:type="paragraph" w:styleId="Body">
    <w:name w:val="Body"/>
    <w:basedOn w:val="Normal"/>
    <w:qFormat/>
    <w:pPr>
      <w:tabs>
        <w:tab w:val="clear" w:pos="720"/>
        <w:tab w:val="left" w:pos="-720" w:leader="none"/>
      </w:tabs>
      <w:suppressAutoHyphens w:val="true"/>
      <w:spacing w:before="0" w:after="240"/>
      <w:ind w:firstLine="720" w:start="0" w:end="0"/>
    </w:pPr>
    <w:rPr/>
  </w:style>
  <w:style w:type="paragraph" w:styleId="NormalIndent">
    <w:name w:val="Normal Indent"/>
    <w:basedOn w:val="Normal"/>
    <w:qFormat/>
    <w:pPr>
      <w:spacing w:before="0" w:after="240"/>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Flush">
    <w:name w:val="BodyFlush"/>
    <w:basedOn w:val="Normal"/>
    <w:qFormat/>
    <w:pPr>
      <w:spacing w:before="0" w:after="240"/>
    </w:pPr>
    <w:rPr/>
  </w:style>
  <w:style w:type="paragraph" w:styleId="zAddressee">
    <w:name w:val="zAddressee"/>
    <w:basedOn w:val="Normal"/>
    <w:next w:val="Normal"/>
    <w:qFormat/>
    <w:pPr>
      <w:tabs>
        <w:tab w:val="clear" w:pos="720"/>
        <w:tab w:val="left" w:pos="-720" w:leader="none"/>
      </w:tabs>
      <w:suppressAutoHyphens w:val="true"/>
      <w:spacing w:before="0" w:after="240"/>
    </w:pPr>
    <w:rPr/>
  </w:style>
  <w:style w:type="paragraph" w:styleId="zRe">
    <w:name w:val="zRe"/>
    <w:basedOn w:val="Normal"/>
    <w:next w:val="Normal"/>
    <w:qFormat/>
    <w:pPr>
      <w:tabs>
        <w:tab w:val="clear" w:pos="720"/>
        <w:tab w:val="left" w:pos="-720" w:leader="none"/>
      </w:tabs>
      <w:suppressAutoHyphens w:val="true"/>
      <w:spacing w:before="240" w:after="240"/>
      <w:ind w:hanging="720" w:start="1440" w:end="0"/>
    </w:pPr>
    <w:rPr/>
  </w:style>
  <w:style w:type="paragraph" w:styleId="Header">
    <w:name w:val="header"/>
    <w:basedOn w:val="Normal"/>
    <w:pPr>
      <w:tabs>
        <w:tab w:val="clear" w:pos="720"/>
        <w:tab w:val="center" w:pos="4320" w:leader="none"/>
        <w:tab w:val="right" w:pos="8640" w:leader="none"/>
      </w:tabs>
    </w:pPr>
    <w:rPr/>
  </w:style>
  <w:style w:type="paragraph" w:styleId="Center">
    <w:name w:val="Center"/>
    <w:basedOn w:val="Normal"/>
    <w:qFormat/>
    <w:pPr>
      <w:keepNext w:val="true"/>
      <w:keepLines/>
      <w:suppressAutoHyphens w:val="true"/>
      <w:spacing w:before="0" w:after="240"/>
      <w:jc w:val="center"/>
    </w:pPr>
    <w:rPr/>
  </w:style>
  <w:style w:type="paragraph" w:styleId="BodyText2">
    <w:name w:val="Body Text 2"/>
    <w:basedOn w:val="Normal"/>
    <w:qFormat/>
    <w:pPr>
      <w:spacing w:before="0" w:after="240"/>
      <w:ind w:hanging="0" w:start="1440" w:end="0"/>
    </w:pPr>
    <w:rPr/>
  </w:style>
  <w:style w:type="paragraph" w:styleId="Signature">
    <w:name w:val="Signature"/>
    <w:basedOn w:val="Normal"/>
    <w:pPr>
      <w:ind w:hanging="0" w:start="4320" w:end="0"/>
    </w:pPr>
    <w:rPr/>
  </w:style>
  <w:style w:type="paragraph" w:styleId="FooterTxt">
    <w:name w:val="FooterTxt"/>
    <w:basedOn w:val="Footer"/>
    <w:qFormat/>
    <w:pPr>
      <w:jc w:val="both"/>
    </w:pPr>
    <w:rPr>
      <w:sz w:val="14"/>
      <w:szCs w:val="14"/>
    </w:rPr>
  </w:style>
  <w:style w:type="paragraph" w:styleId="IndentHanging">
    <w:name w:val="Indent Hanging"/>
    <w:basedOn w:val="Normal"/>
    <w:qFormat/>
    <w:pPr>
      <w:spacing w:before="0" w:after="240"/>
      <w:ind w:hanging="720" w:start="2160" w:end="0"/>
    </w:pPr>
    <w:rPr/>
  </w:style>
  <w:style w:type="paragraph" w:styleId="IndentLR">
    <w:name w:val="Indent L/R"/>
    <w:basedOn w:val="Normal"/>
    <w:qFormat/>
    <w:pPr>
      <w:spacing w:before="0" w:after="240"/>
      <w:ind w:hanging="0" w:start="1440" w:end="1440"/>
    </w:pPr>
    <w:rPr/>
  </w:style>
  <w:style w:type="paragraph" w:styleId="IndentLeft">
    <w:name w:val="Indent Left"/>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IndentOneHalf">
    <w:name w:val="IndentOneHalf"/>
    <w:basedOn w:val="Normal"/>
    <w:qFormat/>
    <w:pPr>
      <w:spacing w:before="0" w:after="240"/>
      <w:ind w:firstLine="720" w:start="720" w:end="0"/>
    </w:pPr>
    <w:rPr/>
  </w:style>
  <w:style w:type="paragraph" w:styleId="IndentOneInch">
    <w:name w:val="IndentOneInch"/>
    <w:basedOn w:val="Normal"/>
    <w:qFormat/>
    <w:pPr>
      <w:spacing w:before="0" w:after="240"/>
      <w:ind w:firstLine="1440" w:start="1440" w:end="0"/>
    </w:pPr>
    <w:rPr/>
  </w:style>
  <w:style w:type="paragraph" w:styleId="IndentOneOneHalfInches">
    <w:name w:val="IndentOneOneHalfInches"/>
    <w:basedOn w:val="Normal"/>
    <w:qFormat/>
    <w:pPr>
      <w:spacing w:before="0" w:after="240"/>
      <w:ind w:hanging="0" w:start="2160" w:end="0"/>
    </w:pPr>
    <w:rPr/>
  </w:style>
  <w:style w:type="paragraph" w:styleId="IndentTwoInches">
    <w:name w:val="IndentTwoInches"/>
    <w:basedOn w:val="Normal"/>
    <w:qFormat/>
    <w:pPr>
      <w:spacing w:before="0" w:after="240"/>
      <w:ind w:firstLine="1440" w:start="2880" w:end="0"/>
    </w:pPr>
    <w:rPr/>
  </w:style>
  <w:style w:type="paragraph" w:styleId="NormalFlush">
    <w:name w:val="Normal Flush"/>
    <w:basedOn w:val="Normal"/>
    <w:qFormat/>
    <w:pPr>
      <w:spacing w:before="0" w:after="240"/>
    </w:pPr>
    <w:rPr/>
  </w:style>
  <w:style w:type="paragraph" w:styleId="LeftSide">
    <w:name w:val="LeftSide"/>
    <w:qFormat/>
    <w:pPr>
      <w:widowControl/>
      <w:suppressAutoHyphens w:val="true"/>
      <w:bidi w:val="0"/>
      <w:spacing w:before="1200" w:after="0"/>
    </w:pPr>
    <w:rPr>
      <w:rFonts w:ascii="Times New Roman" w:hAnsi="Times New Roman" w:eastAsia="Times New Roman" w:cs="Times New Roman"/>
      <w:color w:val="auto"/>
      <w:spacing w:val="10"/>
      <w:sz w:val="16"/>
      <w:szCs w:val="16"/>
      <w:lang w:val="en-CA" w:eastAsia="zh-CN" w:bidi="hi-IN"/>
    </w:rPr>
  </w:style>
  <w:style w:type="paragraph" w:styleId="RightSide">
    <w:name w:val="RightSide"/>
    <w:qFormat/>
    <w:pPr>
      <w:widowControl/>
      <w:suppressAutoHyphens w:val="true"/>
      <w:bidi w:val="0"/>
      <w:spacing w:before="720" w:after="0"/>
      <w:ind w:hanging="0" w:start="1642" w:end="0"/>
    </w:pPr>
    <w:rPr>
      <w:rFonts w:ascii="Times New Roman" w:hAnsi="Times New Roman" w:eastAsia="Times New Roman" w:cs="Times New Roman"/>
      <w:color w:val="auto"/>
      <w:spacing w:val="10"/>
      <w:sz w:val="16"/>
      <w:szCs w:val="16"/>
      <w:lang w:val="en-CA" w:eastAsia="zh-CN" w:bidi="hi-IN"/>
    </w:rPr>
  </w:style>
  <w:style w:type="paragraph" w:styleId="zFounded">
    <w:name w:val="zFounded"/>
    <w:basedOn w:val="Normal"/>
    <w:qFormat/>
    <w:pPr>
      <w:suppressAutoHyphens w:val="true"/>
      <w:spacing w:before="100" w:after="140"/>
      <w:jc w:val="center"/>
    </w:pPr>
    <w:rPr>
      <w:i/>
      <w:iCs/>
      <w:spacing w:val="20"/>
      <w:sz w:val="12"/>
      <w:szCs w:val="12"/>
      <w:lang w:val="en-CA"/>
    </w:rPr>
  </w:style>
  <w:style w:type="paragraph" w:styleId="zLtrAddr">
    <w:name w:val="zLtrAddr"/>
    <w:basedOn w:val="Normal"/>
    <w:qFormat/>
    <w:pPr>
      <w:suppressAutoHyphens w:val="true"/>
      <w:spacing w:before="100" w:after="0"/>
      <w:jc w:val="center"/>
    </w:pPr>
    <w:rPr>
      <w:spacing w:val="10"/>
      <w:sz w:val="16"/>
      <w:szCs w:val="16"/>
      <w:lang w:val="en-CA"/>
    </w:rPr>
  </w:style>
  <w:style w:type="paragraph" w:styleId="WW-BodyText2">
    <w:name w:val="WW-Body Text 2"/>
    <w:basedOn w:val="Normal"/>
    <w:qFormat/>
    <w:pPr>
      <w:widowControl w:val="false"/>
      <w:jc w:val="both"/>
    </w:pPr>
    <w:rPr/>
  </w:style>
  <w:style w:type="paragraph" w:styleId="sub1">
    <w:name w:val="sub1"/>
    <w:basedOn w:val="Normal"/>
    <w:qFormat/>
    <w:pPr>
      <w:widowControl w:val="false"/>
      <w:spacing w:lineRule="auto" w:line="360"/>
      <w:ind w:firstLine="1440" w:start="0" w:end="0"/>
    </w:pPr>
    <w:rPr>
      <w:rFonts w:ascii="Palatino;Book Antiqua" w:hAnsi="Palatino;Book Antiqua" w:eastAsia="Palatino;Book Antiqua" w:cs="Palatino;Book Antiqua"/>
      <w:sz w:val="26"/>
      <w:szCs w:val="26"/>
    </w:rPr>
  </w:style>
  <w:style w:type="paragraph" w:styleId="LFBodyText05ds">
    <w:name w:val="LF Body Text 0.5 ds"/>
    <w:basedOn w:val="Normal"/>
    <w:qFormat/>
    <w:pPr>
      <w:spacing w:lineRule="auto" w:line="480"/>
      <w:ind w:firstLine="720" w:start="0" w:end="0"/>
    </w:pPr>
    <w:rPr>
      <w:rFonts w:ascii="Courier New" w:hAnsi="Courier New" w:eastAsia="Courier New" w:cs="Courier New"/>
    </w:rPr>
  </w:style>
  <w:style w:type="paragraph" w:styleId="LFBlockIndent10ss">
    <w:name w:val="LF Block Indent 1.0 ss"/>
    <w:basedOn w:val="Normal"/>
    <w:qFormat/>
    <w:pPr>
      <w:spacing w:before="0" w:after="240"/>
      <w:ind w:hanging="0" w:start="1440" w:end="1440"/>
    </w:pPr>
    <w:rPr>
      <w:rFonts w:ascii="Courier New" w:hAnsi="Courier New" w:eastAsia="Courier New" w:cs="Courier New"/>
    </w:rPr>
  </w:style>
  <w:style w:type="paragraph" w:styleId="BodyTextIndent2">
    <w:name w:val="Body Text Indent 2"/>
    <w:basedOn w:val="Normal"/>
    <w:qFormat/>
    <w:pPr>
      <w:ind w:firstLine="720" w:start="0" w:end="0"/>
      <w:jc w:val="both"/>
    </w:pPr>
    <w:rPr/>
  </w:style>
  <w:style w:type="paragraph" w:styleId="WW-BodyText21">
    <w:name w:val="WW-Body Text 21"/>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2001-11-20T13:46:00Z</dcterms:created>
  <dc:creator>Arter &amp; Hadden</dc:creator>
  <dc:description/>
  <dc:language>en-CA</dc:language>
  <cp:lastModifiedBy>Daniel W. Douglass</cp:lastModifiedBy>
  <cp:lastPrinted>2001-10-24T15:28:00Z</cp:lastPrinted>
  <dcterms:modified xsi:type="dcterms:W3CDTF">2001-11-20T14:17:00Z</dcterms:modified>
  <cp:revision>7</cp:revision>
  <dc:subject/>
  <dc:title>AustinClevelandColumbusDallasDaytonIrvineLos AngelesSacramento_</dc:title>
</cp:coreProperties>
</file>