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MESSAGE POINTS FROM MEETING</w:t>
      </w:r>
    </w:p>
    <w:p>
      <w:pPr>
        <w:pStyle w:val="Normal"/>
        <w:jc w:val="center"/>
        <w:rPr/>
      </w:pPr>
      <w:r>
        <w:rPr/>
        <w:t>TUESDAY, NOV. 20, 2001</w:t>
      </w:r>
    </w:p>
    <w:p>
      <w:pPr>
        <w:pStyle w:val="Normal"/>
        <w:jc w:val="end"/>
        <w:rPr/>
      </w:pPr>
      <w:r>
        <w:rPr/>
      </w:r>
    </w:p>
    <w:p>
      <w:pPr>
        <w:pStyle w:val="Heading1"/>
        <w:ind w:hanging="0" w:start="0"/>
        <w:rPr/>
      </w:pPr>
      <w:r>
        <w:rPr/>
        <w:t>Upcoming Events</w:t>
      </w:r>
    </w:p>
    <w:p>
      <w:pPr>
        <w:pStyle w:val="Normal"/>
        <w:jc w:val="both"/>
        <w:rPr>
          <w:b/>
          <w:bCs/>
        </w:rPr>
      </w:pPr>
      <w:r>
        <w:rPr>
          <w:b/>
          <w:bCs/>
        </w:rPr>
      </w:r>
    </w:p>
    <w:tbl>
      <w:tblPr>
        <w:tblW w:w="13176" w:type="dxa"/>
        <w:jc w:val="start"/>
        <w:tblInd w:w="0" w:type="dxa"/>
        <w:tblLayout w:type="fixed"/>
        <w:tblCellMar>
          <w:top w:w="0" w:type="dxa"/>
          <w:start w:w="108" w:type="dxa"/>
          <w:bottom w:w="0" w:type="dxa"/>
          <w:end w:w="108" w:type="dxa"/>
        </w:tblCellMar>
      </w:tblPr>
      <w:tblGrid>
        <w:gridCol w:w="2988"/>
        <w:gridCol w:w="10188"/>
      </w:tblGrid>
      <w:tr>
        <w:trPr/>
        <w:tc>
          <w:tcPr>
            <w:tcW w:w="2988"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Date</w:t>
            </w:r>
          </w:p>
        </w:tc>
        <w:tc>
          <w:tcPr>
            <w:tcW w:w="10188"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Event</w:t>
            </w:r>
          </w:p>
        </w:tc>
      </w:tr>
      <w:tr>
        <w:trPr/>
        <w:tc>
          <w:tcPr>
            <w:tcW w:w="2988" w:type="dxa"/>
            <w:tcBorders>
              <w:top w:val="single" w:sz="4" w:space="0" w:color="000000"/>
              <w:start w:val="single" w:sz="4" w:space="0" w:color="000000"/>
              <w:bottom w:val="single" w:sz="4" w:space="0" w:color="000000"/>
              <w:end w:val="single" w:sz="4" w:space="0" w:color="000000"/>
            </w:tcBorders>
          </w:tcPr>
          <w:p>
            <w:pPr>
              <w:pStyle w:val="Normal"/>
              <w:rPr/>
            </w:pPr>
            <w:r>
              <w:rPr/>
              <w:t>Fri., Nov. 23</w:t>
            </w:r>
          </w:p>
        </w:tc>
        <w:tc>
          <w:tcPr>
            <w:tcW w:w="10188" w:type="dxa"/>
            <w:tcBorders>
              <w:top w:val="single" w:sz="4" w:space="0" w:color="000000"/>
              <w:start w:val="single" w:sz="4" w:space="0" w:color="000000"/>
              <w:bottom w:val="single" w:sz="4" w:space="0" w:color="000000"/>
              <w:end w:val="single" w:sz="4" w:space="0" w:color="000000"/>
            </w:tcBorders>
          </w:tcPr>
          <w:p>
            <w:pPr>
              <w:pStyle w:val="Normal"/>
              <w:rPr/>
            </w:pPr>
            <w:r>
              <w:rPr>
                <w:i/>
                <w:iCs/>
                <w:u w:val="single"/>
              </w:rPr>
              <w:t>Possible</w:t>
            </w:r>
            <w:r>
              <w:rPr/>
              <w:t xml:space="preserve"> Enron Europe announcement</w:t>
            </w:r>
          </w:p>
        </w:tc>
      </w:tr>
      <w:tr>
        <w:trPr/>
        <w:tc>
          <w:tcPr>
            <w:tcW w:w="2988" w:type="dxa"/>
            <w:tcBorders>
              <w:top w:val="single" w:sz="4" w:space="0" w:color="000000"/>
              <w:start w:val="single" w:sz="4" w:space="0" w:color="000000"/>
              <w:bottom w:val="single" w:sz="4" w:space="0" w:color="000000"/>
              <w:end w:val="single" w:sz="4" w:space="0" w:color="000000"/>
            </w:tcBorders>
          </w:tcPr>
          <w:p>
            <w:pPr>
              <w:pStyle w:val="Normal"/>
              <w:rPr/>
            </w:pPr>
            <w:r>
              <w:rPr/>
              <w:t>Tues., Nov. 27 (?)</w:t>
            </w:r>
          </w:p>
        </w:tc>
        <w:tc>
          <w:tcPr>
            <w:tcW w:w="10188" w:type="dxa"/>
            <w:tcBorders>
              <w:top w:val="single" w:sz="4" w:space="0" w:color="000000"/>
              <w:start w:val="single" w:sz="4" w:space="0" w:color="000000"/>
              <w:bottom w:val="single" w:sz="4" w:space="0" w:color="000000"/>
              <w:end w:val="single" w:sz="4" w:space="0" w:color="000000"/>
            </w:tcBorders>
          </w:tcPr>
          <w:p>
            <w:pPr>
              <w:pStyle w:val="Normal"/>
              <w:rPr/>
            </w:pPr>
            <w:r>
              <w:rPr/>
              <w:t>EES customer communication</w:t>
            </w:r>
          </w:p>
        </w:tc>
      </w:tr>
      <w:tr>
        <w:trPr/>
        <w:tc>
          <w:tcPr>
            <w:tcW w:w="2988" w:type="dxa"/>
            <w:tcBorders>
              <w:top w:val="single" w:sz="4" w:space="0" w:color="000000"/>
              <w:start w:val="single" w:sz="4" w:space="0" w:color="000000"/>
              <w:bottom w:val="single" w:sz="4" w:space="0" w:color="000000"/>
              <w:end w:val="single" w:sz="4" w:space="0" w:color="000000"/>
            </w:tcBorders>
          </w:tcPr>
          <w:p>
            <w:pPr>
              <w:pStyle w:val="Normal"/>
              <w:rPr/>
            </w:pPr>
            <w:r>
              <w:rPr/>
              <w:t>Tues., Nov. 27 (?)</w:t>
            </w:r>
          </w:p>
        </w:tc>
        <w:tc>
          <w:tcPr>
            <w:tcW w:w="10188" w:type="dxa"/>
            <w:tcBorders>
              <w:top w:val="single" w:sz="4" w:space="0" w:color="000000"/>
              <w:start w:val="single" w:sz="4" w:space="0" w:color="000000"/>
              <w:bottom w:val="single" w:sz="4" w:space="0" w:color="000000"/>
              <w:end w:val="single" w:sz="4" w:space="0" w:color="000000"/>
            </w:tcBorders>
          </w:tcPr>
          <w:p>
            <w:pPr>
              <w:pStyle w:val="Normal"/>
              <w:rPr/>
            </w:pPr>
            <w:r>
              <w:rPr/>
              <w:t>All employee communication re restructuring</w:t>
            </w:r>
          </w:p>
        </w:tc>
      </w:tr>
      <w:tr>
        <w:trPr/>
        <w:tc>
          <w:tcPr>
            <w:tcW w:w="2988" w:type="dxa"/>
            <w:tcBorders>
              <w:top w:val="single" w:sz="4" w:space="0" w:color="000000"/>
              <w:start w:val="single" w:sz="4" w:space="0" w:color="000000"/>
              <w:bottom w:val="single" w:sz="4" w:space="0" w:color="000000"/>
              <w:end w:val="single" w:sz="4" w:space="0" w:color="000000"/>
            </w:tcBorders>
          </w:tcPr>
          <w:p>
            <w:pPr>
              <w:pStyle w:val="Normal"/>
              <w:rPr/>
            </w:pPr>
            <w:r>
              <w:rPr/>
              <w:t>Thurs., Nov. 29</w:t>
            </w:r>
          </w:p>
        </w:tc>
        <w:tc>
          <w:tcPr>
            <w:tcW w:w="1018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i/>
                <w:iCs/>
                <w:u w:val="single"/>
              </w:rPr>
              <w:t>Possible</w:t>
            </w:r>
            <w:r>
              <w:rPr/>
              <w:t xml:space="preserve"> All employee meeting</w:t>
            </w:r>
          </w:p>
        </w:tc>
      </w:tr>
      <w:tr>
        <w:trPr/>
        <w:tc>
          <w:tcPr>
            <w:tcW w:w="2988" w:type="dxa"/>
            <w:tcBorders>
              <w:top w:val="single" w:sz="4" w:space="0" w:color="000000"/>
              <w:start w:val="single" w:sz="4" w:space="0" w:color="000000"/>
              <w:bottom w:val="single" w:sz="4" w:space="0" w:color="000000"/>
              <w:end w:val="single" w:sz="4" w:space="0" w:color="000000"/>
            </w:tcBorders>
          </w:tcPr>
          <w:p>
            <w:pPr>
              <w:pStyle w:val="Normal"/>
              <w:rPr/>
            </w:pPr>
            <w:r>
              <w:rPr/>
              <w:t>Tues., Dec. 18</w:t>
            </w:r>
          </w:p>
        </w:tc>
        <w:tc>
          <w:tcPr>
            <w:tcW w:w="10188" w:type="dxa"/>
            <w:tcBorders>
              <w:top w:val="single" w:sz="4" w:space="0" w:color="000000"/>
              <w:start w:val="single" w:sz="4" w:space="0" w:color="000000"/>
              <w:bottom w:val="single" w:sz="4" w:space="0" w:color="000000"/>
              <w:end w:val="single" w:sz="4" w:space="0" w:color="000000"/>
            </w:tcBorders>
          </w:tcPr>
          <w:p>
            <w:pPr>
              <w:pStyle w:val="Normal"/>
              <w:rPr>
                <w:i/>
                <w:i/>
                <w:iCs/>
                <w:u w:val="single"/>
              </w:rPr>
            </w:pPr>
            <w:r>
              <w:rPr>
                <w:i/>
                <w:iCs/>
                <w:u w:val="single"/>
              </w:rPr>
              <w:t>Possible</w:t>
            </w:r>
            <w:r>
              <w:rPr/>
              <w:t xml:space="preserve"> All employee meeting – may have this meeting in addition to Nov. 29</w:t>
            </w:r>
            <w:r>
              <w:rPr>
                <w:vertAlign w:val="superscript"/>
              </w:rPr>
              <w:t>th</w:t>
            </w:r>
            <w:r>
              <w:rPr/>
              <w:t xml:space="preserve"> meeting.</w:t>
            </w:r>
          </w:p>
        </w:tc>
      </w:tr>
    </w:tbl>
    <w:p>
      <w:pPr>
        <w:pStyle w:val="Normal"/>
        <w:jc w:val="center"/>
        <w:rPr/>
      </w:pPr>
      <w:r>
        <w:rPr/>
      </w:r>
    </w:p>
    <w:p>
      <w:pPr>
        <w:pStyle w:val="Normal"/>
        <w:jc w:val="center"/>
        <w:rPr/>
      </w:pPr>
      <w:r>
        <w:rPr/>
      </w:r>
    </w:p>
    <w:p>
      <w:pPr>
        <w:pStyle w:val="Heading1"/>
        <w:ind w:hanging="0" w:start="0"/>
        <w:rPr/>
      </w:pPr>
      <w:r>
        <w:rPr/>
        <w:t>Questions and Messages of the Day</w:t>
      </w:r>
    </w:p>
    <w:p>
      <w:pPr>
        <w:pStyle w:val="Normal"/>
        <w:jc w:val="both"/>
        <w:rPr>
          <w:b/>
          <w:bCs/>
        </w:rPr>
      </w:pPr>
      <w:r>
        <w:rPr>
          <w:b/>
          <w:bCs/>
        </w:rPr>
      </w:r>
    </w:p>
    <w:tbl>
      <w:tblPr>
        <w:tblW w:w="13176" w:type="dxa"/>
        <w:jc w:val="start"/>
        <w:tblInd w:w="0" w:type="dxa"/>
        <w:tblLayout w:type="fixed"/>
        <w:tblCellMar>
          <w:top w:w="0" w:type="dxa"/>
          <w:start w:w="108" w:type="dxa"/>
          <w:bottom w:w="0" w:type="dxa"/>
          <w:end w:w="108" w:type="dxa"/>
        </w:tblCellMar>
      </w:tblPr>
      <w:tblGrid>
        <w:gridCol w:w="5148"/>
        <w:gridCol w:w="1698"/>
        <w:gridCol w:w="6330"/>
      </w:tblGrid>
      <w:tr>
        <w:trPr/>
        <w:tc>
          <w:tcPr>
            <w:tcW w:w="514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b/>
                <w:bCs/>
              </w:rPr>
            </w:pPr>
            <w:r>
              <w:rPr>
                <w:b/>
                <w:bCs/>
              </w:rPr>
            </w:r>
          </w:p>
          <w:p>
            <w:pPr>
              <w:pStyle w:val="Normal"/>
              <w:jc w:val="both"/>
              <w:rPr>
                <w:b/>
                <w:bCs/>
              </w:rPr>
            </w:pPr>
            <w:r>
              <w:rPr>
                <w:b/>
                <w:bCs/>
              </w:rPr>
              <w:t>Question</w:t>
            </w:r>
          </w:p>
        </w:tc>
        <w:tc>
          <w:tcPr>
            <w:tcW w:w="1698" w:type="dxa"/>
            <w:tcBorders>
              <w:top w:val="single" w:sz="4" w:space="0" w:color="000000"/>
              <w:start w:val="single" w:sz="4" w:space="0" w:color="000000"/>
              <w:bottom w:val="single" w:sz="4" w:space="0" w:color="000000"/>
              <w:end w:val="single" w:sz="4" w:space="0" w:color="000000"/>
            </w:tcBorders>
          </w:tcPr>
          <w:p>
            <w:pPr>
              <w:pStyle w:val="Normal"/>
              <w:jc w:val="both"/>
              <w:rPr>
                <w:b/>
                <w:bCs/>
              </w:rPr>
            </w:pPr>
            <w:r>
              <w:rPr>
                <w:b/>
                <w:bCs/>
              </w:rPr>
              <w:t xml:space="preserve">External </w:t>
            </w:r>
          </w:p>
          <w:p>
            <w:pPr>
              <w:pStyle w:val="Normal"/>
              <w:jc w:val="both"/>
              <w:rPr>
                <w:b/>
                <w:bCs/>
              </w:rPr>
            </w:pPr>
            <w:r>
              <w:rPr>
                <w:b/>
                <w:bCs/>
              </w:rPr>
              <w:t>Audience</w:t>
            </w:r>
          </w:p>
        </w:tc>
        <w:tc>
          <w:tcPr>
            <w:tcW w:w="633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b/>
                <w:bCs/>
              </w:rPr>
            </w:pPr>
            <w:r>
              <w:rPr>
                <w:b/>
                <w:bCs/>
              </w:rPr>
            </w:r>
          </w:p>
          <w:p>
            <w:pPr>
              <w:pStyle w:val="Normal"/>
              <w:jc w:val="both"/>
              <w:rPr>
                <w:b/>
                <w:bCs/>
              </w:rPr>
            </w:pPr>
            <w:r>
              <w:rPr>
                <w:b/>
                <w:bCs/>
              </w:rPr>
              <w:t>Message</w:t>
            </w:r>
          </w:p>
        </w:tc>
      </w:tr>
      <w:tr>
        <w:trPr/>
        <w:tc>
          <w:tcPr>
            <w:tcW w:w="514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Liquidity and counter party activity.  Transaction count on EnronOnline</w:t>
            </w:r>
          </w:p>
        </w:tc>
        <w:tc>
          <w:tcPr>
            <w:tcW w:w="1698" w:type="dxa"/>
            <w:tcBorders>
              <w:top w:val="single" w:sz="4" w:space="0" w:color="000000"/>
              <w:start w:val="single" w:sz="4" w:space="0" w:color="000000"/>
              <w:bottom w:val="single" w:sz="4" w:space="0" w:color="000000"/>
              <w:end w:val="single" w:sz="4" w:space="0" w:color="000000"/>
            </w:tcBorders>
          </w:tcPr>
          <w:p>
            <w:pPr>
              <w:pStyle w:val="Normal"/>
              <w:rPr/>
            </w:pPr>
            <w:r>
              <w:rPr/>
              <w:t>media, investors</w:t>
            </w:r>
          </w:p>
        </w:tc>
        <w:tc>
          <w:tcPr>
            <w:tcW w:w="6330" w:type="dxa"/>
            <w:tcBorders>
              <w:top w:val="single" w:sz="4" w:space="0" w:color="000000"/>
              <w:start w:val="single" w:sz="4" w:space="0" w:color="000000"/>
              <w:bottom w:val="single" w:sz="4" w:space="0" w:color="000000"/>
              <w:end w:val="single" w:sz="4" w:space="0" w:color="000000"/>
            </w:tcBorders>
          </w:tcPr>
          <w:p>
            <w:pPr>
              <w:pStyle w:val="Normal"/>
              <w:autoSpaceDE w:val="false"/>
              <w:rPr>
                <w:lang w:val="en-GB"/>
              </w:rPr>
            </w:pPr>
            <w:r>
              <w:rPr>
                <w:lang w:val="en-GB"/>
              </w:rPr>
              <w:t xml:space="preserve">There was no recognizable change in counterparties.  No one significant has dropped off.  We can’t identify individuals who might not be transacting with us.  The transaction volume is still within the normal range, given the normal daily and counterparty variability (30-day rolling average of more than 5,500 transactions with a notional value of more than $2.7 billion).  </w:t>
            </w:r>
          </w:p>
          <w:p>
            <w:pPr>
              <w:pStyle w:val="Normal"/>
              <w:autoSpaceDE w:val="false"/>
              <w:rPr>
                <w:lang w:val="en-GB"/>
              </w:rPr>
            </w:pPr>
            <w:r>
              <w:rPr>
                <w:lang w:val="en-GB"/>
              </w:rPr>
            </w:r>
          </w:p>
          <w:p>
            <w:pPr>
              <w:pStyle w:val="Normal"/>
              <w:autoSpaceDE w:val="false"/>
              <w:rPr>
                <w:lang w:val="en-GB"/>
              </w:rPr>
            </w:pPr>
            <w:r>
              <w:rPr>
                <w:lang w:val="en-GB"/>
              </w:rPr>
              <w:t>As reported in the 10Q, while trading volumes in our core natural gas and power business have held steady, there has been some decrease in wholesale trading volumes in a few of our non-core businesses.  Additionally, due to the unusual events of the last few weeks, we have seen some decrease in the number of long-term transactions.  (Long-term deals are often completed off-line and would not appear in EOL numbers).</w:t>
            </w:r>
          </w:p>
          <w:p>
            <w:pPr>
              <w:pStyle w:val="Normal"/>
              <w:rPr>
                <w:lang w:val="en-GB"/>
              </w:rPr>
            </w:pPr>
            <w:r>
              <w:rPr>
                <w:lang w:val="en-GB"/>
              </w:rPr>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rPr/>
            </w:pPr>
            <w:r>
              <w:rPr/>
              <w:t>Bank fees – what was $90 million for?</w:t>
            </w:r>
          </w:p>
        </w:tc>
        <w:tc>
          <w:tcPr>
            <w:tcW w:w="1698" w:type="dxa"/>
            <w:tcBorders>
              <w:top w:val="single" w:sz="4" w:space="0" w:color="000000"/>
              <w:start w:val="single" w:sz="4" w:space="0" w:color="000000"/>
              <w:bottom w:val="single" w:sz="4" w:space="0" w:color="000000"/>
              <w:end w:val="single" w:sz="4" w:space="0" w:color="000000"/>
            </w:tcBorders>
          </w:tcPr>
          <w:p>
            <w:pPr>
              <w:pStyle w:val="Normal"/>
              <w:rPr/>
            </w:pPr>
            <w:r>
              <w:rPr/>
              <w:t>media</w:t>
            </w:r>
          </w:p>
        </w:tc>
        <w:tc>
          <w:tcPr>
            <w:tcW w:w="6330" w:type="dxa"/>
            <w:tcBorders>
              <w:top w:val="single" w:sz="4" w:space="0" w:color="000000"/>
              <w:start w:val="single" w:sz="4" w:space="0" w:color="000000"/>
              <w:bottom w:val="single" w:sz="4" w:space="0" w:color="000000"/>
              <w:end w:val="single" w:sz="4" w:space="0" w:color="000000"/>
            </w:tcBorders>
          </w:tcPr>
          <w:p>
            <w:pPr>
              <w:pStyle w:val="Normal"/>
              <w:rPr/>
            </w:pPr>
            <w:r>
              <w:rPr/>
              <w:t>We will not comment on fees paid for outside services</w:t>
            </w:r>
          </w:p>
          <w:p>
            <w:pPr>
              <w:pStyle w:val="Normal"/>
              <w:rPr/>
            </w:pPr>
            <w:r>
              <w:rPr/>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keepNext w:val="true"/>
              <w:keepLines/>
              <w:autoSpaceDE w:val="false"/>
              <w:rPr>
                <w:szCs w:val="20"/>
              </w:rPr>
            </w:pPr>
            <w:r>
              <w:rPr>
                <w:szCs w:val="20"/>
              </w:rPr>
              <w:t>Will Enron file bankruptcy if it cannot raise the $9 billion due by the end of 2002?</w:t>
            </w:r>
          </w:p>
          <w:p>
            <w:pPr>
              <w:pStyle w:val="Normal"/>
              <w:keepNext w:val="true"/>
              <w:keepLines/>
              <w:rPr>
                <w:szCs w:val="20"/>
              </w:rPr>
            </w:pPr>
            <w:r>
              <w:rPr>
                <w:szCs w:val="20"/>
              </w:rPr>
            </w:r>
          </w:p>
          <w:p>
            <w:pPr>
              <w:pStyle w:val="Header"/>
              <w:keepNext w:val="true"/>
              <w:keepLines/>
              <w:tabs>
                <w:tab w:val="clear" w:pos="4320"/>
                <w:tab w:val="clear" w:pos="8640"/>
              </w:tabs>
              <w:rPr/>
            </w:pPr>
            <w:r>
              <w:rPr/>
            </w:r>
          </w:p>
        </w:tc>
        <w:tc>
          <w:tcPr>
            <w:tcW w:w="1698"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rPr/>
            </w:pPr>
            <w:r>
              <w:rPr/>
            </w:r>
          </w:p>
        </w:tc>
        <w:tc>
          <w:tcPr>
            <w:tcW w:w="6330" w:type="dxa"/>
            <w:tcBorders>
              <w:top w:val="single" w:sz="4" w:space="0" w:color="000000"/>
              <w:start w:val="single" w:sz="4" w:space="0" w:color="000000"/>
              <w:bottom w:val="single" w:sz="4" w:space="0" w:color="000000"/>
              <w:end w:val="single" w:sz="4" w:space="0" w:color="000000"/>
            </w:tcBorders>
          </w:tcPr>
          <w:p>
            <w:pPr>
              <w:pStyle w:val="Normal"/>
              <w:keepNext w:val="true"/>
              <w:keepLines/>
              <w:autoSpaceDE w:val="false"/>
              <w:rPr>
                <w:szCs w:val="20"/>
              </w:rPr>
            </w:pPr>
            <w:r>
              <w:rPr>
                <w:szCs w:val="20"/>
              </w:rPr>
              <w:t>We are working with the banks to restructure our debt and extend the maturities.  In fact, S&amp;P announced in a press release today that they believe that "given the alignment of interests between Enron and the banks, the company's efforts to renegotiate and extend the maturity of the obligation will be successful."</w:t>
            </w:r>
          </w:p>
          <w:p>
            <w:pPr>
              <w:pStyle w:val="Header"/>
              <w:keepNext w:val="true"/>
              <w:keepLines/>
              <w:tabs>
                <w:tab w:val="clear" w:pos="4320"/>
                <w:tab w:val="clear" w:pos="8640"/>
              </w:tabs>
              <w:rPr>
                <w:szCs w:val="20"/>
              </w:rPr>
            </w:pPr>
            <w:r>
              <w:rPr>
                <w:szCs w:val="20"/>
              </w:rPr>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autoSpaceDE w:val="false"/>
              <w:rPr>
                <w:szCs w:val="20"/>
              </w:rPr>
            </w:pPr>
            <w:r>
              <w:rPr>
                <w:szCs w:val="20"/>
              </w:rPr>
              <w:t>What's the status of the $690 million that's due Nov. 27?</w:t>
            </w:r>
          </w:p>
          <w:p>
            <w:pPr>
              <w:pStyle w:val="Header"/>
              <w:tabs>
                <w:tab w:val="clear" w:pos="4320"/>
                <w:tab w:val="clear" w:pos="8640"/>
              </w:tabs>
              <w:rPr>
                <w:szCs w:val="20"/>
              </w:rPr>
            </w:pPr>
            <w:r>
              <w:rPr>
                <w:szCs w:val="20"/>
              </w:rPr>
            </w:r>
          </w:p>
        </w:tc>
        <w:tc>
          <w:tcPr>
            <w:tcW w:w="169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6330" w:type="dxa"/>
            <w:tcBorders>
              <w:top w:val="single" w:sz="4" w:space="0" w:color="000000"/>
              <w:start w:val="single" w:sz="4" w:space="0" w:color="000000"/>
              <w:bottom w:val="single" w:sz="4" w:space="0" w:color="000000"/>
              <w:end w:val="single" w:sz="4" w:space="0" w:color="000000"/>
            </w:tcBorders>
          </w:tcPr>
          <w:p>
            <w:pPr>
              <w:pStyle w:val="Normal"/>
              <w:autoSpaceDE w:val="false"/>
              <w:rPr>
                <w:szCs w:val="20"/>
              </w:rPr>
            </w:pPr>
            <w:r>
              <w:rPr>
                <w:szCs w:val="20"/>
              </w:rPr>
              <w:t>We have verbal indications that the maturity will be extended.  The details still need to be worked out, and the individual bank credit department reviews have yet to be completed.</w:t>
            </w:r>
          </w:p>
          <w:p>
            <w:pPr>
              <w:pStyle w:val="Header"/>
              <w:tabs>
                <w:tab w:val="clear" w:pos="4320"/>
                <w:tab w:val="clear" w:pos="8640"/>
              </w:tabs>
              <w:rPr>
                <w:szCs w:val="20"/>
              </w:rPr>
            </w:pPr>
            <w:r>
              <w:rPr>
                <w:szCs w:val="20"/>
              </w:rPr>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rPr/>
            </w:pPr>
            <w:r>
              <w:rPr/>
              <w:t>Rawhide questions</w:t>
            </w:r>
          </w:p>
          <w:p>
            <w:pPr>
              <w:pStyle w:val="Header"/>
              <w:tabs>
                <w:tab w:val="clear" w:pos="4320"/>
                <w:tab w:val="clear" w:pos="8640"/>
              </w:tabs>
              <w:rPr/>
            </w:pPr>
            <w:r>
              <w:rPr/>
            </w:r>
          </w:p>
        </w:tc>
        <w:tc>
          <w:tcPr>
            <w:tcW w:w="169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633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[Greg Caudell]</w:t>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keepNext w:val="true"/>
              <w:keepLines/>
              <w:rPr/>
            </w:pPr>
            <w:r>
              <w:rPr/>
              <w:t>What lobbying activity?</w:t>
            </w:r>
          </w:p>
        </w:tc>
        <w:tc>
          <w:tcPr>
            <w:tcW w:w="1698" w:type="dxa"/>
            <w:tcBorders>
              <w:top w:val="single" w:sz="4" w:space="0" w:color="000000"/>
              <w:start w:val="single" w:sz="4" w:space="0" w:color="000000"/>
              <w:bottom w:val="single" w:sz="4" w:space="0" w:color="000000"/>
              <w:end w:val="single" w:sz="4" w:space="0" w:color="000000"/>
            </w:tcBorders>
          </w:tcPr>
          <w:p>
            <w:pPr>
              <w:pStyle w:val="Normal"/>
              <w:keepNext w:val="true"/>
              <w:keepLines/>
              <w:rPr/>
            </w:pPr>
            <w:r>
              <w:rPr/>
              <w:t>media</w:t>
            </w:r>
          </w:p>
        </w:tc>
        <w:tc>
          <w:tcPr>
            <w:tcW w:w="6330" w:type="dxa"/>
            <w:tcBorders>
              <w:top w:val="single" w:sz="4" w:space="0" w:color="000000"/>
              <w:start w:val="single" w:sz="4" w:space="0" w:color="000000"/>
              <w:bottom w:val="single" w:sz="4" w:space="0" w:color="000000"/>
              <w:end w:val="single" w:sz="4" w:space="0" w:color="000000"/>
            </w:tcBorders>
          </w:tcPr>
          <w:p>
            <w:pPr>
              <w:pStyle w:val="Normal"/>
              <w:keepNext w:val="true"/>
              <w:keepLines/>
              <w:numPr>
                <w:ilvl w:val="0"/>
                <w:numId w:val="10"/>
              </w:numPr>
              <w:rPr/>
            </w:pPr>
            <w:r>
              <w:rPr/>
              <w:t>Enron continues its advocacy for open energy markets at the state and federal level.  Dynegy is also committed to open energy markets so we would expect that advocacy to continue.</w:t>
            </w:r>
          </w:p>
          <w:p>
            <w:pPr>
              <w:pStyle w:val="Header"/>
              <w:keepNext w:val="true"/>
              <w:keepLines/>
              <w:tabs>
                <w:tab w:val="clear" w:pos="4320"/>
                <w:tab w:val="clear" w:pos="8640"/>
              </w:tabs>
              <w:rPr/>
            </w:pPr>
            <w:r>
              <w:rPr/>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rPr/>
            </w:pPr>
            <w:r>
              <w:rPr/>
              <w:t>What is core and non-core?</w:t>
            </w:r>
          </w:p>
        </w:tc>
        <w:tc>
          <w:tcPr>
            <w:tcW w:w="1698" w:type="dxa"/>
            <w:tcBorders>
              <w:top w:val="single" w:sz="4" w:space="0" w:color="000000"/>
              <w:start w:val="single" w:sz="4" w:space="0" w:color="000000"/>
              <w:bottom w:val="single" w:sz="4" w:space="0" w:color="000000"/>
              <w:end w:val="single" w:sz="4" w:space="0" w:color="000000"/>
            </w:tcBorders>
          </w:tcPr>
          <w:p>
            <w:pPr>
              <w:pStyle w:val="Normal"/>
              <w:rPr/>
            </w:pPr>
            <w:r>
              <w:rPr/>
              <w:t>media, investors</w:t>
            </w:r>
          </w:p>
        </w:tc>
        <w:tc>
          <w:tcPr>
            <w:tcW w:w="6330" w:type="dxa"/>
            <w:tcBorders>
              <w:top w:val="single" w:sz="4" w:space="0" w:color="000000"/>
              <w:start w:val="single" w:sz="4" w:space="0" w:color="000000"/>
              <w:bottom w:val="single" w:sz="4" w:space="0" w:color="000000"/>
              <w:end w:val="single" w:sz="4" w:space="0" w:color="000000"/>
            </w:tcBorders>
          </w:tcPr>
          <w:p>
            <w:pPr>
              <w:pStyle w:val="Normal"/>
              <w:numPr>
                <w:ilvl w:val="0"/>
                <w:numId w:val="10"/>
              </w:numPr>
              <w:rPr/>
            </w:pPr>
            <w:r>
              <w:rPr>
                <w:b/>
                <w:bCs/>
              </w:rPr>
              <w:t>Core Businesses</w:t>
            </w:r>
            <w:r>
              <w:rPr/>
              <w:t xml:space="preserve"> are our consistent franchise businesses in which we believe Enron has a distinct competitive advantage.  These businesses, collectively, generate significant earnings and cash flows for the company.  They include – </w:t>
            </w:r>
          </w:p>
          <w:p>
            <w:pPr>
              <w:pStyle w:val="Normal"/>
              <w:ind w:start="60" w:end="0"/>
              <w:rPr/>
            </w:pPr>
            <w:r>
              <w:rPr/>
            </w:r>
          </w:p>
          <w:p>
            <w:pPr>
              <w:pStyle w:val="Normal"/>
              <w:numPr>
                <w:ilvl w:val="1"/>
                <w:numId w:val="10"/>
              </w:numPr>
              <w:rPr/>
            </w:pPr>
            <w:r>
              <w:rPr/>
              <w:t>Our natural gas pipeline;</w:t>
            </w:r>
          </w:p>
          <w:p>
            <w:pPr>
              <w:pStyle w:val="Normal"/>
              <w:numPr>
                <w:ilvl w:val="1"/>
                <w:numId w:val="10"/>
              </w:numPr>
              <w:rPr/>
            </w:pPr>
            <w:r>
              <w:rPr/>
              <w:t>Our gas &amp; power businesses in North America &amp; Europe;</w:t>
            </w:r>
          </w:p>
          <w:p>
            <w:pPr>
              <w:pStyle w:val="Normal"/>
              <w:numPr>
                <w:ilvl w:val="1"/>
                <w:numId w:val="10"/>
              </w:numPr>
              <w:rPr/>
            </w:pPr>
            <w:r>
              <w:rPr/>
              <w:t>Our retail businesses in North America and Europe; and our</w:t>
            </w:r>
          </w:p>
          <w:p>
            <w:pPr>
              <w:pStyle w:val="Normal"/>
              <w:numPr>
                <w:ilvl w:val="1"/>
                <w:numId w:val="10"/>
              </w:numPr>
              <w:rPr/>
            </w:pPr>
            <w:r>
              <w:rPr/>
              <w:t>Coal businesses</w:t>
            </w:r>
          </w:p>
          <w:p>
            <w:pPr>
              <w:pStyle w:val="Normal"/>
              <w:rPr/>
            </w:pPr>
            <w:r>
              <w:rPr/>
            </w:r>
          </w:p>
          <w:p>
            <w:pPr>
              <w:pStyle w:val="Normal"/>
              <w:numPr>
                <w:ilvl w:val="0"/>
                <w:numId w:val="10"/>
              </w:numPr>
              <w:rPr/>
            </w:pPr>
            <w:r>
              <w:rPr>
                <w:b/>
                <w:bCs/>
              </w:rPr>
              <w:t>Non-Core</w:t>
            </w:r>
            <w:r>
              <w:rPr/>
              <w:t xml:space="preserve"> businesses are businesses which do not provide value to our core businesses  These primarily are part of our global assets segment and broadband division.  We have over $8 billion invested in these businesses and the return from these businesses and investments is dismal.  Accordingly, we plan to exit these businesses in an orderly fashion and expect that the sale of non-core businesses will generate billions of dollars of cash that Enron will use to repay debt and redeploy into its core businesses.</w:t>
            </w:r>
          </w:p>
          <w:p>
            <w:pPr>
              <w:pStyle w:val="Normal"/>
              <w:rPr/>
            </w:pPr>
            <w:r>
              <w:rPr/>
            </w:r>
          </w:p>
          <w:p>
            <w:pPr>
              <w:pStyle w:val="Normal"/>
              <w:numPr>
                <w:ilvl w:val="0"/>
                <w:numId w:val="10"/>
              </w:numPr>
              <w:rPr/>
            </w:pPr>
            <w:r>
              <w:rPr>
                <w:b/>
                <w:bCs/>
              </w:rPr>
              <w:t>Businesses Under Review</w:t>
            </w:r>
            <w:r>
              <w:rPr/>
              <w:t xml:space="preserve"> are businesses that we believe have strong future prospects, however, under the current environment, we will look closely at each of these businesses, the capital requirements and near-term growth prospects of these businesses both in terms of earnings and cash generation.  These businesses are primarily our wholesale businesses outside of gas and power and include both energy-related and as well as our industrial markets activities.  With respect to these businesses, we are performing an in</w:t>
              <w:noBreakHyphen/>
              <w:t>depth assessment of each business and we will be making determinations quickly about the resources that intend to expend in these areas and exactly what the prospects are for each of these businesses.</w:t>
            </w:r>
          </w:p>
          <w:p>
            <w:pPr>
              <w:pStyle w:val="Normal"/>
              <w:rPr/>
            </w:pPr>
            <w:r>
              <w:rPr/>
            </w:r>
          </w:p>
          <w:p>
            <w:pPr>
              <w:pStyle w:val="Normal"/>
              <w:keepNext w:val="true"/>
              <w:keepLines/>
              <w:rPr/>
            </w:pPr>
            <w:r>
              <w:rPr/>
              <w:t>With respect to these businesses, we are performing an in-depth assessment of each business and will be making a determination very quickly about the resources we intend to expend in this area.</w:t>
            </w:r>
          </w:p>
          <w:p>
            <w:pPr>
              <w:pStyle w:val="Normal"/>
              <w:rPr/>
            </w:pPr>
            <w:r>
              <w:rPr/>
            </w:r>
          </w:p>
          <w:p>
            <w:pPr>
              <w:pStyle w:val="Normal"/>
              <w:numPr>
                <w:ilvl w:val="0"/>
                <w:numId w:val="2"/>
              </w:numPr>
              <w:rPr/>
            </w:pPr>
            <w:r>
              <w:rPr/>
              <w:t>Timing for these reviews is weeks not months.</w:t>
            </w:r>
          </w:p>
          <w:p>
            <w:pPr>
              <w:pStyle w:val="Header"/>
              <w:tabs>
                <w:tab w:val="clear" w:pos="4320"/>
                <w:tab w:val="clear" w:pos="8640"/>
              </w:tabs>
              <w:rPr/>
            </w:pPr>
            <w:r>
              <w:rPr/>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rPr/>
            </w:pPr>
            <w:r>
              <w:rPr/>
              <w:t>Are we revising earnings guidance for fourth quarter and for next year?</w:t>
            </w:r>
          </w:p>
          <w:p>
            <w:pPr>
              <w:pStyle w:val="Normal"/>
              <w:rPr/>
            </w:pPr>
            <w:r>
              <w:rPr/>
            </w:r>
          </w:p>
        </w:tc>
        <w:tc>
          <w:tcPr>
            <w:tcW w:w="1698" w:type="dxa"/>
            <w:tcBorders>
              <w:top w:val="single" w:sz="4" w:space="0" w:color="000000"/>
              <w:start w:val="single" w:sz="4" w:space="0" w:color="000000"/>
              <w:bottom w:val="single" w:sz="4" w:space="0" w:color="000000"/>
              <w:end w:val="single" w:sz="4" w:space="0" w:color="000000"/>
            </w:tcBorders>
          </w:tcPr>
          <w:p>
            <w:pPr>
              <w:pStyle w:val="Normal"/>
              <w:rPr/>
            </w:pPr>
            <w:r>
              <w:rPr/>
              <w:t>media, investors</w:t>
            </w:r>
          </w:p>
        </w:tc>
        <w:tc>
          <w:tcPr>
            <w:tcW w:w="6330" w:type="dxa"/>
            <w:tcBorders>
              <w:top w:val="single" w:sz="4" w:space="0" w:color="000000"/>
              <w:start w:val="single" w:sz="4" w:space="0" w:color="000000"/>
              <w:bottom w:val="single" w:sz="4" w:space="0" w:color="000000"/>
              <w:end w:val="single" w:sz="4" w:space="0" w:color="000000"/>
            </w:tcBorders>
          </w:tcPr>
          <w:p>
            <w:pPr>
              <w:pStyle w:val="Normal"/>
              <w:numPr>
                <w:ilvl w:val="0"/>
                <w:numId w:val="10"/>
              </w:numPr>
              <w:rPr/>
            </w:pPr>
            <w:r>
              <w:rPr/>
              <w:t>We are completing our review of core and non-core businesses</w:t>
            </w:r>
          </w:p>
          <w:p>
            <w:pPr>
              <w:pStyle w:val="Normal"/>
              <w:numPr>
                <w:ilvl w:val="0"/>
                <w:numId w:val="10"/>
              </w:numPr>
              <w:rPr/>
            </w:pPr>
            <w:r>
              <w:rPr/>
              <w:t>We are in the process of finalizing our 2002 budget.  Until that process is complete, it is premature to address 2002 guidance.  We will be back shortly with an assessment of the 4</w:t>
            </w:r>
            <w:r>
              <w:rPr>
                <w:vertAlign w:val="superscript"/>
              </w:rPr>
              <w:t>th</w:t>
            </w:r>
            <w:r>
              <w:rPr/>
              <w:t xml:space="preserve"> quarter.</w:t>
            </w:r>
          </w:p>
          <w:p>
            <w:pPr>
              <w:pStyle w:val="Normal"/>
              <w:rPr/>
            </w:pPr>
            <w:r>
              <w:rPr/>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autoSpaceDE w:val="false"/>
              <w:rPr>
                <w:szCs w:val="20"/>
              </w:rPr>
            </w:pPr>
            <w:r>
              <w:rPr>
                <w:szCs w:val="20"/>
              </w:rPr>
              <w:t>What day will our 10Q be filed?</w:t>
            </w:r>
          </w:p>
          <w:p>
            <w:pPr>
              <w:pStyle w:val="Normal"/>
              <w:rPr>
                <w:szCs w:val="20"/>
              </w:rPr>
            </w:pPr>
            <w:r>
              <w:rPr>
                <w:szCs w:val="20"/>
              </w:rPr>
            </w:r>
          </w:p>
        </w:tc>
        <w:tc>
          <w:tcPr>
            <w:tcW w:w="169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6330" w:type="dxa"/>
            <w:tcBorders>
              <w:top w:val="single" w:sz="4" w:space="0" w:color="000000"/>
              <w:start w:val="single" w:sz="4" w:space="0" w:color="000000"/>
              <w:bottom w:val="single" w:sz="4" w:space="0" w:color="000000"/>
              <w:end w:val="single" w:sz="4" w:space="0" w:color="000000"/>
            </w:tcBorders>
          </w:tcPr>
          <w:p>
            <w:pPr>
              <w:pStyle w:val="Normal"/>
              <w:numPr>
                <w:ilvl w:val="0"/>
                <w:numId w:val="10"/>
              </w:numPr>
              <w:rPr/>
            </w:pPr>
            <w:r>
              <w:rPr/>
              <w:t>Enron’s 10Q will be filed in 5 calendar days.  We will file on Monday, Nov. 19.</w:t>
            </w:r>
          </w:p>
          <w:p>
            <w:pPr>
              <w:pStyle w:val="Normal"/>
              <w:rPr/>
            </w:pPr>
            <w:r>
              <w:rPr/>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rPr/>
            </w:pPr>
            <w:r>
              <w:rPr/>
              <w:t>What is Enron's current cash position?</w:t>
            </w:r>
          </w:p>
        </w:tc>
        <w:tc>
          <w:tcPr>
            <w:tcW w:w="1698" w:type="dxa"/>
            <w:tcBorders>
              <w:top w:val="single" w:sz="4" w:space="0" w:color="000000"/>
              <w:start w:val="single" w:sz="4" w:space="0" w:color="000000"/>
              <w:bottom w:val="single" w:sz="4" w:space="0" w:color="000000"/>
              <w:end w:val="single" w:sz="4" w:space="0" w:color="000000"/>
            </w:tcBorders>
          </w:tcPr>
          <w:p>
            <w:pPr>
              <w:pStyle w:val="Normal"/>
              <w:rPr/>
            </w:pPr>
            <w:r>
              <w:rPr/>
              <w:t>investors</w:t>
            </w:r>
          </w:p>
        </w:tc>
        <w:tc>
          <w:tcPr>
            <w:tcW w:w="6330" w:type="dxa"/>
            <w:tcBorders>
              <w:top w:val="single" w:sz="4" w:space="0" w:color="000000"/>
              <w:start w:val="single" w:sz="4" w:space="0" w:color="000000"/>
              <w:bottom w:val="single" w:sz="4" w:space="0" w:color="000000"/>
              <w:end w:val="single" w:sz="4" w:space="0" w:color="000000"/>
            </w:tcBorders>
          </w:tcPr>
          <w:p>
            <w:pPr>
              <w:pStyle w:val="Normal"/>
              <w:numPr>
                <w:ilvl w:val="0"/>
                <w:numId w:val="4"/>
              </w:numPr>
              <w:rPr/>
            </w:pPr>
            <w:r>
              <w:rPr/>
              <w:t>We don't comment on daily cash balances.</w:t>
            </w:r>
          </w:p>
          <w:p>
            <w:pPr>
              <w:pStyle w:val="Normal"/>
              <w:numPr>
                <w:ilvl w:val="0"/>
                <w:numId w:val="4"/>
              </w:numPr>
              <w:rPr/>
            </w:pPr>
            <w:r>
              <w:rPr/>
              <w:t>But we have taken steps to ensure adequate liquidity.</w:t>
            </w:r>
          </w:p>
          <w:p>
            <w:pPr>
              <w:pStyle w:val="Normal"/>
              <w:rPr/>
            </w:pPr>
            <w:r>
              <w:rPr/>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keepNext w:val="true"/>
              <w:keepLines/>
              <w:rPr/>
            </w:pPr>
            <w:r>
              <w:rPr/>
              <w:t>New asset sales?</w:t>
            </w:r>
          </w:p>
          <w:p>
            <w:pPr>
              <w:pStyle w:val="Header"/>
              <w:keepNext w:val="true"/>
              <w:keepLines/>
              <w:tabs>
                <w:tab w:val="clear" w:pos="4320"/>
                <w:tab w:val="clear" w:pos="8640"/>
              </w:tabs>
              <w:rPr/>
            </w:pPr>
            <w:r>
              <w:rPr/>
              <w:t xml:space="preserve">   </w:t>
            </w:r>
            <w:r>
              <w:rPr/>
              <w:t>-   Wessex</w:t>
            </w:r>
          </w:p>
          <w:p>
            <w:pPr>
              <w:pStyle w:val="Normal"/>
              <w:keepNext w:val="true"/>
              <w:keepLines/>
              <w:rPr/>
            </w:pPr>
            <w:r>
              <w:rPr/>
            </w:r>
          </w:p>
        </w:tc>
        <w:tc>
          <w:tcPr>
            <w:tcW w:w="1698" w:type="dxa"/>
            <w:tcBorders>
              <w:top w:val="single" w:sz="4" w:space="0" w:color="000000"/>
              <w:start w:val="single" w:sz="4" w:space="0" w:color="000000"/>
              <w:bottom w:val="single" w:sz="4" w:space="0" w:color="000000"/>
              <w:end w:val="single" w:sz="4" w:space="0" w:color="000000"/>
            </w:tcBorders>
          </w:tcPr>
          <w:p>
            <w:pPr>
              <w:pStyle w:val="Normal"/>
              <w:keepNext w:val="true"/>
              <w:keepLines/>
              <w:rPr/>
            </w:pPr>
            <w:r>
              <w:rPr/>
              <w:t>media</w:t>
            </w:r>
          </w:p>
        </w:tc>
        <w:tc>
          <w:tcPr>
            <w:tcW w:w="6330" w:type="dxa"/>
            <w:tcBorders>
              <w:top w:val="single" w:sz="4" w:space="0" w:color="000000"/>
              <w:start w:val="single" w:sz="4" w:space="0" w:color="000000"/>
              <w:bottom w:val="single" w:sz="4" w:space="0" w:color="000000"/>
              <w:end w:val="single" w:sz="4" w:space="0" w:color="000000"/>
            </w:tcBorders>
          </w:tcPr>
          <w:p>
            <w:pPr>
              <w:pStyle w:val="Normal"/>
              <w:keepNext w:val="true"/>
              <w:keepLines/>
              <w:numPr>
                <w:ilvl w:val="0"/>
                <w:numId w:val="4"/>
              </w:numPr>
              <w:rPr/>
            </w:pPr>
            <w:r>
              <w:rPr/>
              <w:t>We will proceed with our already announced asset sales plans; we will liquidate these positions in an orderly fashion.</w:t>
            </w:r>
          </w:p>
          <w:p>
            <w:pPr>
              <w:pStyle w:val="Normal"/>
              <w:keepNext w:val="true"/>
              <w:keepLines/>
              <w:numPr>
                <w:ilvl w:val="0"/>
                <w:numId w:val="4"/>
              </w:numPr>
              <w:rPr/>
            </w:pPr>
            <w:r>
              <w:rPr/>
              <w:t>We do not comment on specific acquisition and divestiture rumors or speculation.</w:t>
            </w:r>
          </w:p>
          <w:p>
            <w:pPr>
              <w:pStyle w:val="Normal"/>
              <w:keepNext w:val="true"/>
              <w:keepLines/>
              <w:rPr/>
            </w:pPr>
            <w:r>
              <w:rPr/>
            </w:r>
          </w:p>
        </w:tc>
      </w:tr>
      <w:tr>
        <w:trPr/>
        <w:tc>
          <w:tcPr>
            <w:tcW w:w="5148" w:type="dxa"/>
            <w:tcBorders>
              <w:top w:val="single" w:sz="4" w:space="0" w:color="000000"/>
              <w:start w:val="single" w:sz="4" w:space="0" w:color="000000"/>
              <w:bottom w:val="single" w:sz="4" w:space="0" w:color="000000"/>
              <w:end w:val="single" w:sz="4" w:space="0" w:color="000000"/>
            </w:tcBorders>
          </w:tcPr>
          <w:p>
            <w:pPr>
              <w:pStyle w:val="Header"/>
              <w:keepNext w:val="true"/>
              <w:keepLines/>
              <w:tabs>
                <w:tab w:val="clear" w:pos="4320"/>
                <w:tab w:val="clear" w:pos="8640"/>
              </w:tabs>
              <w:rPr/>
            </w:pPr>
            <w:r>
              <w:rPr/>
              <w:t>What other private equity sources are you pursuing?</w:t>
            </w:r>
          </w:p>
        </w:tc>
        <w:tc>
          <w:tcPr>
            <w:tcW w:w="1698" w:type="dxa"/>
            <w:tcBorders>
              <w:top w:val="single" w:sz="4" w:space="0" w:color="000000"/>
              <w:start w:val="single" w:sz="4" w:space="0" w:color="000000"/>
              <w:bottom w:val="single" w:sz="4" w:space="0" w:color="000000"/>
              <w:end w:val="single" w:sz="4" w:space="0" w:color="000000"/>
            </w:tcBorders>
          </w:tcPr>
          <w:p>
            <w:pPr>
              <w:pStyle w:val="Header"/>
              <w:keepNext w:val="true"/>
              <w:keepLines/>
              <w:tabs>
                <w:tab w:val="clear" w:pos="4320"/>
                <w:tab w:val="clear" w:pos="8640"/>
              </w:tabs>
              <w:rPr/>
            </w:pPr>
            <w:r>
              <w:rPr/>
              <w:t>media</w:t>
            </w:r>
          </w:p>
        </w:tc>
        <w:tc>
          <w:tcPr>
            <w:tcW w:w="6330" w:type="dxa"/>
            <w:tcBorders>
              <w:top w:val="single" w:sz="4" w:space="0" w:color="000000"/>
              <w:start w:val="single" w:sz="4" w:space="0" w:color="000000"/>
              <w:bottom w:val="single" w:sz="4" w:space="0" w:color="000000"/>
              <w:end w:val="single" w:sz="4" w:space="0" w:color="000000"/>
            </w:tcBorders>
          </w:tcPr>
          <w:p>
            <w:pPr>
              <w:pStyle w:val="Normal"/>
              <w:keepNext w:val="true"/>
              <w:keepLines/>
              <w:numPr>
                <w:ilvl w:val="0"/>
                <w:numId w:val="4"/>
              </w:numPr>
              <w:jc w:val="both"/>
              <w:rPr/>
            </w:pPr>
            <w:r>
              <w:rPr/>
              <w:t>We will continue to pursue equity investment sources.</w:t>
            </w:r>
          </w:p>
          <w:p>
            <w:pPr>
              <w:pStyle w:val="Normal"/>
              <w:keepNext w:val="true"/>
              <w:keepLines/>
              <w:numPr>
                <w:ilvl w:val="0"/>
                <w:numId w:val="4"/>
              </w:numPr>
              <w:jc w:val="both"/>
              <w:rPr/>
            </w:pPr>
            <w:r>
              <w:rPr/>
              <w:t>We will not discuss the potential investors or terms.</w:t>
            </w:r>
          </w:p>
          <w:p>
            <w:pPr>
              <w:pStyle w:val="Normal"/>
              <w:keepNext w:val="true"/>
              <w:keepLines/>
              <w:numPr>
                <w:ilvl w:val="0"/>
                <w:numId w:val="4"/>
              </w:numPr>
              <w:jc w:val="both"/>
              <w:rPr/>
            </w:pPr>
            <w:r>
              <w:rPr/>
              <w:t>[The merger agreement provides Enron with the flexibility to sell additional equity up to $2 billion.]</w:t>
            </w:r>
          </w:p>
          <w:p>
            <w:pPr>
              <w:pStyle w:val="Normal"/>
              <w:keepNext w:val="true"/>
              <w:keepLines/>
              <w:jc w:val="both"/>
              <w:rPr/>
            </w:pPr>
            <w:r>
              <w:rPr/>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keepNext w:val="true"/>
              <w:keepLines/>
              <w:rPr/>
            </w:pPr>
            <w:r>
              <w:rPr/>
              <w:t>Why is there an obligation to "defease" Marlin and Osprey 120 days in advance?</w:t>
            </w:r>
          </w:p>
          <w:p>
            <w:pPr>
              <w:pStyle w:val="Normal"/>
              <w:keepNext w:val="true"/>
              <w:keepLines/>
              <w:autoSpaceDE w:val="false"/>
              <w:rPr/>
            </w:pPr>
            <w:r>
              <w:rPr/>
            </w:r>
          </w:p>
        </w:tc>
        <w:tc>
          <w:tcPr>
            <w:tcW w:w="1698" w:type="dxa"/>
            <w:tcBorders>
              <w:top w:val="single" w:sz="4" w:space="0" w:color="000000"/>
              <w:start w:val="single" w:sz="4" w:space="0" w:color="000000"/>
              <w:bottom w:val="single" w:sz="4" w:space="0" w:color="000000"/>
              <w:end w:val="single" w:sz="4" w:space="0" w:color="000000"/>
            </w:tcBorders>
          </w:tcPr>
          <w:p>
            <w:pPr>
              <w:pStyle w:val="Normal"/>
              <w:keepNext w:val="true"/>
              <w:keepLines/>
              <w:rPr/>
            </w:pPr>
            <w:r>
              <w:rPr/>
              <w:t>media</w:t>
            </w:r>
          </w:p>
        </w:tc>
        <w:tc>
          <w:tcPr>
            <w:tcW w:w="6330" w:type="dxa"/>
            <w:tcBorders>
              <w:top w:val="single" w:sz="4" w:space="0" w:color="000000"/>
              <w:start w:val="single" w:sz="4" w:space="0" w:color="000000"/>
              <w:bottom w:val="single" w:sz="4" w:space="0" w:color="000000"/>
              <w:end w:val="single" w:sz="4" w:space="0" w:color="000000"/>
            </w:tcBorders>
          </w:tcPr>
          <w:p>
            <w:pPr>
              <w:pStyle w:val="Normal"/>
              <w:keepNext w:val="true"/>
              <w:keepLines/>
              <w:numPr>
                <w:ilvl w:val="0"/>
                <w:numId w:val="4"/>
              </w:numPr>
              <w:jc w:val="both"/>
              <w:rPr/>
            </w:pPr>
            <w:r>
              <w:rPr/>
              <w:t>Standard provision in a share trust transaction.</w:t>
            </w:r>
          </w:p>
          <w:p>
            <w:pPr>
              <w:pStyle w:val="Normal"/>
              <w:keepNext w:val="true"/>
              <w:keepLines/>
              <w:numPr>
                <w:ilvl w:val="0"/>
                <w:numId w:val="4"/>
              </w:numPr>
              <w:jc w:val="both"/>
              <w:rPr/>
            </w:pPr>
            <w:r>
              <w:rPr/>
              <w:t>Requirement is to collateralize the obligation in advance of the termination.</w:t>
            </w:r>
          </w:p>
          <w:p>
            <w:pPr>
              <w:pStyle w:val="Normal"/>
              <w:keepNext w:val="true"/>
              <w:keepLines/>
              <w:numPr>
                <w:ilvl w:val="0"/>
                <w:numId w:val="4"/>
              </w:numPr>
              <w:autoSpaceDE w:val="false"/>
              <w:rPr>
                <w:szCs w:val="20"/>
              </w:rPr>
            </w:pPr>
            <w:r>
              <w:rPr>
                <w:szCs w:val="20"/>
              </w:rPr>
              <w:t>Defeasing Marlin and Osprey was part of the original agreements.  Osprey defeases in August 2002</w:t>
            </w:r>
          </w:p>
          <w:p>
            <w:pPr>
              <w:pStyle w:val="Normal"/>
              <w:keepNext w:val="true"/>
              <w:keepLines/>
              <w:jc w:val="both"/>
              <w:rPr>
                <w:szCs w:val="20"/>
              </w:rPr>
            </w:pPr>
            <w:r>
              <w:rPr>
                <w:szCs w:val="20"/>
              </w:rPr>
            </w:r>
          </w:p>
        </w:tc>
      </w:tr>
      <w:tr>
        <w:trPr/>
        <w:tc>
          <w:tcPr>
            <w:tcW w:w="5148" w:type="dxa"/>
            <w:tcBorders>
              <w:top w:val="single" w:sz="4" w:space="0" w:color="000000"/>
              <w:start w:val="single" w:sz="4" w:space="0" w:color="000000"/>
              <w:bottom w:val="single" w:sz="4" w:space="0" w:color="000000"/>
              <w:end w:val="single" w:sz="4" w:space="0" w:color="000000"/>
            </w:tcBorders>
          </w:tcPr>
          <w:p>
            <w:pPr>
              <w:pStyle w:val="BodyText"/>
              <w:rPr>
                <w:rFonts w:ascii="Times New Roman" w:hAnsi="Times New Roman" w:cs="Times New Roman"/>
                <w:sz w:val="24"/>
              </w:rPr>
            </w:pPr>
            <w:r>
              <w:rPr>
                <w:rFonts w:cs="Times New Roman" w:ascii="Times New Roman" w:hAnsi="Times New Roman"/>
                <w:sz w:val="24"/>
              </w:rPr>
              <w:t>Will either of these vehicles be dissolved before the merger w/ Dynegy?</w:t>
            </w:r>
          </w:p>
          <w:p>
            <w:pPr>
              <w:pStyle w:val="Normal"/>
              <w:rPr>
                <w:rFonts w:ascii="Times New Roman" w:hAnsi="Times New Roman" w:cs="Times New Roman"/>
                <w:sz w:val="24"/>
              </w:rPr>
            </w:pPr>
            <w:r>
              <w:rPr>
                <w:rFonts w:cs="Times New Roman"/>
                <w:sz w:val="24"/>
              </w:rPr>
            </w:r>
          </w:p>
        </w:tc>
        <w:tc>
          <w:tcPr>
            <w:tcW w:w="1698" w:type="dxa"/>
            <w:tcBorders>
              <w:top w:val="single" w:sz="4" w:space="0" w:color="000000"/>
              <w:start w:val="single" w:sz="4" w:space="0" w:color="000000"/>
              <w:bottom w:val="single" w:sz="4" w:space="0" w:color="000000"/>
              <w:end w:val="single" w:sz="4" w:space="0" w:color="000000"/>
            </w:tcBorders>
          </w:tcPr>
          <w:p>
            <w:pPr>
              <w:pStyle w:val="Normal"/>
              <w:rPr/>
            </w:pPr>
            <w:r>
              <w:rPr/>
              <w:t>media</w:t>
            </w:r>
          </w:p>
        </w:tc>
        <w:tc>
          <w:tcPr>
            <w:tcW w:w="6330" w:type="dxa"/>
            <w:tcBorders>
              <w:top w:val="single" w:sz="4" w:space="0" w:color="000000"/>
              <w:start w:val="single" w:sz="4" w:space="0" w:color="000000"/>
              <w:bottom w:val="single" w:sz="4" w:space="0" w:color="000000"/>
              <w:end w:val="single" w:sz="4" w:space="0" w:color="000000"/>
            </w:tcBorders>
          </w:tcPr>
          <w:p>
            <w:pPr>
              <w:pStyle w:val="Normal"/>
              <w:numPr>
                <w:ilvl w:val="0"/>
                <w:numId w:val="5"/>
              </w:numPr>
              <w:rPr/>
            </w:pPr>
            <w:r>
              <w:rPr>
                <w:szCs w:val="20"/>
              </w:rPr>
              <w:t>If the merger closes in Q3 2002, Osprey will be defeased, but will not be dissolved at that time.</w:t>
            </w:r>
          </w:p>
          <w:p>
            <w:pPr>
              <w:pStyle w:val="Normal"/>
              <w:jc w:val="both"/>
              <w:rPr/>
            </w:pPr>
            <w:r>
              <w:rPr/>
            </w:r>
          </w:p>
        </w:tc>
      </w:tr>
      <w:tr>
        <w:trPr/>
        <w:tc>
          <w:tcPr>
            <w:tcW w:w="5148" w:type="dxa"/>
            <w:tcBorders>
              <w:top w:val="single" w:sz="4" w:space="0" w:color="000000"/>
              <w:start w:val="single" w:sz="4" w:space="0" w:color="000000"/>
              <w:bottom w:val="single" w:sz="4" w:space="0" w:color="000000"/>
              <w:end w:val="single" w:sz="4" w:space="0" w:color="000000"/>
            </w:tcBorders>
          </w:tcPr>
          <w:p>
            <w:pPr>
              <w:pStyle w:val="BodyText"/>
              <w:rPr>
                <w:rFonts w:ascii="Times New Roman" w:hAnsi="Times New Roman" w:cs="Times New Roman"/>
                <w:sz w:val="24"/>
              </w:rPr>
            </w:pPr>
            <w:r>
              <w:rPr>
                <w:rFonts w:cs="Times New Roman" w:ascii="Times New Roman" w:hAnsi="Times New Roman"/>
                <w:sz w:val="24"/>
              </w:rPr>
              <w:t>When will Enron receive the $1 billion from banks?</w:t>
            </w:r>
          </w:p>
          <w:p>
            <w:pPr>
              <w:pStyle w:val="Normal"/>
              <w:autoSpaceDE w:val="false"/>
              <w:rPr>
                <w:rFonts w:ascii="Times New Roman" w:hAnsi="Times New Roman" w:cs="Times New Roman"/>
                <w:sz w:val="24"/>
              </w:rPr>
            </w:pPr>
            <w:r>
              <w:rPr>
                <w:rFonts w:cs="Times New Roman"/>
                <w:sz w:val="24"/>
              </w:rPr>
            </w:r>
          </w:p>
        </w:tc>
        <w:tc>
          <w:tcPr>
            <w:tcW w:w="1698" w:type="dxa"/>
            <w:tcBorders>
              <w:top w:val="single" w:sz="4" w:space="0" w:color="000000"/>
              <w:start w:val="single" w:sz="4" w:space="0" w:color="000000"/>
              <w:bottom w:val="single" w:sz="4" w:space="0" w:color="000000"/>
              <w:end w:val="single" w:sz="4" w:space="0" w:color="000000"/>
            </w:tcBorders>
          </w:tcPr>
          <w:p>
            <w:pPr>
              <w:pStyle w:val="Normal"/>
              <w:rPr/>
            </w:pPr>
            <w:r>
              <w:rPr/>
              <w:t>media</w:t>
            </w:r>
          </w:p>
        </w:tc>
        <w:tc>
          <w:tcPr>
            <w:tcW w:w="6330" w:type="dxa"/>
            <w:tcBorders>
              <w:top w:val="single" w:sz="4" w:space="0" w:color="000000"/>
              <w:start w:val="single" w:sz="4" w:space="0" w:color="000000"/>
              <w:bottom w:val="single" w:sz="4" w:space="0" w:color="000000"/>
              <w:end w:val="single" w:sz="4" w:space="0" w:color="000000"/>
            </w:tcBorders>
          </w:tcPr>
          <w:p>
            <w:pPr>
              <w:pStyle w:val="Normal"/>
              <w:numPr>
                <w:ilvl w:val="0"/>
                <w:numId w:val="5"/>
              </w:numPr>
              <w:autoSpaceDE w:val="false"/>
              <w:rPr>
                <w:szCs w:val="20"/>
              </w:rPr>
            </w:pPr>
            <w:r>
              <w:rPr>
                <w:szCs w:val="20"/>
              </w:rPr>
              <w:t>Closed on $550 million credit facility for Transwestern Pipeline on Nov. 14.</w:t>
            </w:r>
          </w:p>
          <w:p>
            <w:pPr>
              <w:pStyle w:val="Normal"/>
              <w:numPr>
                <w:ilvl w:val="0"/>
                <w:numId w:val="5"/>
              </w:numPr>
              <w:autoSpaceDE w:val="false"/>
              <w:rPr>
                <w:szCs w:val="20"/>
              </w:rPr>
            </w:pPr>
            <w:r>
              <w:rPr>
                <w:szCs w:val="20"/>
              </w:rPr>
              <w:t>Remaining $450 million for Northern Natural Gas expected in next week.</w:t>
            </w:r>
          </w:p>
          <w:p>
            <w:pPr>
              <w:pStyle w:val="Normal"/>
              <w:rPr>
                <w:szCs w:val="20"/>
              </w:rPr>
            </w:pPr>
            <w:r>
              <w:rPr>
                <w:szCs w:val="20"/>
              </w:rPr>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rPr/>
            </w:pPr>
            <w:r>
              <w:rPr/>
              <w:t>What layoffs do you expect?</w:t>
            </w:r>
          </w:p>
        </w:tc>
        <w:tc>
          <w:tcPr>
            <w:tcW w:w="1698" w:type="dxa"/>
            <w:tcBorders>
              <w:top w:val="single" w:sz="4" w:space="0" w:color="000000"/>
              <w:start w:val="single" w:sz="4" w:space="0" w:color="000000"/>
              <w:bottom w:val="single" w:sz="4" w:space="0" w:color="000000"/>
              <w:end w:val="single" w:sz="4" w:space="0" w:color="000000"/>
            </w:tcBorders>
          </w:tcPr>
          <w:p>
            <w:pPr>
              <w:pStyle w:val="Normal"/>
              <w:rPr/>
            </w:pPr>
            <w:r>
              <w:rPr/>
              <w:t>media</w:t>
            </w:r>
          </w:p>
        </w:tc>
        <w:tc>
          <w:tcPr>
            <w:tcW w:w="6330" w:type="dxa"/>
            <w:tcBorders>
              <w:top w:val="single" w:sz="4" w:space="0" w:color="000000"/>
              <w:start w:val="single" w:sz="4" w:space="0" w:color="000000"/>
              <w:bottom w:val="single" w:sz="4" w:space="0" w:color="000000"/>
              <w:end w:val="single" w:sz="4" w:space="0" w:color="000000"/>
            </w:tcBorders>
          </w:tcPr>
          <w:p>
            <w:pPr>
              <w:pStyle w:val="Normal"/>
              <w:numPr>
                <w:ilvl w:val="0"/>
                <w:numId w:val="4"/>
              </w:numPr>
              <w:jc w:val="both"/>
              <w:rPr/>
            </w:pPr>
            <w:r>
              <w:rPr/>
              <w:t>We will communicate any plans to employees first.</w:t>
            </w:r>
          </w:p>
          <w:p>
            <w:pPr>
              <w:pStyle w:val="Normal"/>
              <w:jc w:val="both"/>
              <w:rPr/>
            </w:pPr>
            <w:r>
              <w:rPr/>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rPr/>
            </w:pPr>
            <w:r>
              <w:rPr/>
              <w:t>Quantification of litigation</w:t>
            </w:r>
          </w:p>
        </w:tc>
        <w:tc>
          <w:tcPr>
            <w:tcW w:w="1698" w:type="dxa"/>
            <w:tcBorders>
              <w:top w:val="single" w:sz="4" w:space="0" w:color="000000"/>
              <w:start w:val="single" w:sz="4" w:space="0" w:color="000000"/>
              <w:bottom w:val="single" w:sz="4" w:space="0" w:color="000000"/>
              <w:end w:val="single" w:sz="4" w:space="0" w:color="000000"/>
            </w:tcBorders>
          </w:tcPr>
          <w:p>
            <w:pPr>
              <w:pStyle w:val="Normal"/>
              <w:rPr/>
            </w:pPr>
            <w:r>
              <w:rPr/>
              <w:t>media, investors</w:t>
            </w:r>
          </w:p>
        </w:tc>
        <w:tc>
          <w:tcPr>
            <w:tcW w:w="6330" w:type="dxa"/>
            <w:tcBorders>
              <w:top w:val="single" w:sz="4" w:space="0" w:color="000000"/>
              <w:start w:val="single" w:sz="4" w:space="0" w:color="000000"/>
              <w:bottom w:val="single" w:sz="4" w:space="0" w:color="000000"/>
              <w:end w:val="single" w:sz="4" w:space="0" w:color="000000"/>
            </w:tcBorders>
          </w:tcPr>
          <w:p>
            <w:pPr>
              <w:pStyle w:val="Normal"/>
              <w:numPr>
                <w:ilvl w:val="0"/>
                <w:numId w:val="4"/>
              </w:numPr>
              <w:rPr/>
            </w:pPr>
            <w:r>
              <w:rPr/>
              <w:t>no specific comment on litigation</w:t>
            </w:r>
          </w:p>
          <w:p>
            <w:pPr>
              <w:pStyle w:val="Normal"/>
              <w:numPr>
                <w:ilvl w:val="0"/>
                <w:numId w:val="4"/>
              </w:numPr>
              <w:rPr/>
            </w:pPr>
            <w:r>
              <w:rPr/>
              <w:t>shareholder suits likely to be consolidated</w:t>
            </w:r>
          </w:p>
          <w:p>
            <w:pPr>
              <w:pStyle w:val="Normal"/>
              <w:numPr>
                <w:ilvl w:val="0"/>
                <w:numId w:val="4"/>
              </w:numPr>
              <w:rPr/>
            </w:pPr>
            <w:r>
              <w:rPr/>
              <w:t>$3.5 billion "basket" in merger agreement is designed to cover all Enron litigation (i.e. not just shareholder litigation) and the parties believe this will be sufficient</w:t>
            </w:r>
          </w:p>
          <w:p>
            <w:pPr>
              <w:pStyle w:val="Normal"/>
              <w:rPr/>
            </w:pPr>
            <w:r>
              <w:rPr/>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rPr/>
            </w:pPr>
            <w:r>
              <w:rPr/>
              <w:t>Ken Lay's compensation</w:t>
            </w:r>
          </w:p>
        </w:tc>
        <w:tc>
          <w:tcPr>
            <w:tcW w:w="1698" w:type="dxa"/>
            <w:tcBorders>
              <w:top w:val="single" w:sz="4" w:space="0" w:color="000000"/>
              <w:start w:val="single" w:sz="4" w:space="0" w:color="000000"/>
              <w:bottom w:val="single" w:sz="4" w:space="0" w:color="000000"/>
              <w:end w:val="single" w:sz="4" w:space="0" w:color="000000"/>
            </w:tcBorders>
          </w:tcPr>
          <w:p>
            <w:pPr>
              <w:pStyle w:val="Normal"/>
              <w:rPr/>
            </w:pPr>
            <w:r>
              <w:rPr/>
              <w:t>media, employees</w:t>
            </w:r>
          </w:p>
        </w:tc>
        <w:tc>
          <w:tcPr>
            <w:tcW w:w="6330" w:type="dxa"/>
            <w:tcBorders>
              <w:top w:val="single" w:sz="4" w:space="0" w:color="000000"/>
              <w:start w:val="single" w:sz="4" w:space="0" w:color="000000"/>
              <w:bottom w:val="single" w:sz="4" w:space="0" w:color="000000"/>
              <w:end w:val="single" w:sz="4" w:space="0" w:color="000000"/>
            </w:tcBorders>
          </w:tcPr>
          <w:p>
            <w:pPr>
              <w:pStyle w:val="Normal"/>
              <w:numPr>
                <w:ilvl w:val="0"/>
                <w:numId w:val="4"/>
              </w:numPr>
              <w:rPr/>
            </w:pPr>
            <w:r>
              <w:rPr/>
              <w:t>Ken, like many CEOs, has a change in control provision in his contract (and has had one for many years)</w:t>
            </w:r>
          </w:p>
          <w:p>
            <w:pPr>
              <w:pStyle w:val="Normal"/>
              <w:rPr/>
            </w:pPr>
            <w:r>
              <w:rPr/>
              <w:t>Ken has elected to waive his right to payment under that provision with respect to the Dynegy merger.</w:t>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keepNext w:val="true"/>
              <w:keepLines/>
              <w:rPr/>
            </w:pPr>
            <w:r>
              <w:rPr/>
              <w:t xml:space="preserve">Impact of merger on asset sales transactions </w:t>
            </w:r>
          </w:p>
          <w:p>
            <w:pPr>
              <w:pStyle w:val="Header"/>
              <w:keepNext w:val="true"/>
              <w:keepLines/>
              <w:tabs>
                <w:tab w:val="clear" w:pos="4320"/>
                <w:tab w:val="clear" w:pos="8640"/>
              </w:tabs>
              <w:rPr/>
            </w:pPr>
            <w:r>
              <w:rPr/>
              <w:t>(e.g. Dabhol)</w:t>
            </w:r>
          </w:p>
        </w:tc>
        <w:tc>
          <w:tcPr>
            <w:tcW w:w="1698" w:type="dxa"/>
            <w:tcBorders>
              <w:top w:val="single" w:sz="4" w:space="0" w:color="000000"/>
              <w:start w:val="single" w:sz="4" w:space="0" w:color="000000"/>
              <w:bottom w:val="single" w:sz="4" w:space="0" w:color="000000"/>
              <w:end w:val="single" w:sz="4" w:space="0" w:color="000000"/>
            </w:tcBorders>
          </w:tcPr>
          <w:p>
            <w:pPr>
              <w:pStyle w:val="Normal"/>
              <w:keepNext w:val="true"/>
              <w:keepLines/>
              <w:rPr/>
            </w:pPr>
            <w:r>
              <w:rPr/>
              <w:t>media</w:t>
            </w:r>
          </w:p>
        </w:tc>
        <w:tc>
          <w:tcPr>
            <w:tcW w:w="6330" w:type="dxa"/>
            <w:tcBorders>
              <w:top w:val="single" w:sz="4" w:space="0" w:color="000000"/>
              <w:start w:val="single" w:sz="4" w:space="0" w:color="000000"/>
              <w:bottom w:val="single" w:sz="4" w:space="0" w:color="000000"/>
              <w:end w:val="single" w:sz="4" w:space="0" w:color="000000"/>
            </w:tcBorders>
          </w:tcPr>
          <w:p>
            <w:pPr>
              <w:pStyle w:val="Normal"/>
              <w:keepNext w:val="true"/>
              <w:keepLines/>
              <w:numPr>
                <w:ilvl w:val="0"/>
                <w:numId w:val="3"/>
              </w:numPr>
              <w:rPr/>
            </w:pPr>
            <w:r>
              <w:rPr/>
              <w:t>Enron will continue with its asset sales program as previously announced.  Those asset sales that have been announced include EcoElectrica, CEG/CEG Rio, EOGIL and Portland General Electric.  These transactions total $800 million plus PGE ($1.55 billion cash, $250 million in stock and $1.1 billion in debt)</w:t>
            </w:r>
          </w:p>
          <w:p>
            <w:pPr>
              <w:pStyle w:val="Normal"/>
              <w:keepNext w:val="true"/>
              <w:keepLines/>
              <w:rPr/>
            </w:pPr>
            <w:r>
              <w:rPr/>
            </w:r>
          </w:p>
        </w:tc>
      </w:tr>
      <w:tr>
        <w:trPr/>
        <w:tc>
          <w:tcPr>
            <w:tcW w:w="5148" w:type="dxa"/>
            <w:tcBorders>
              <w:top w:val="single" w:sz="4" w:space="0" w:color="000000"/>
              <w:start w:val="single" w:sz="4" w:space="0" w:color="000000"/>
              <w:bottom w:val="single" w:sz="4" w:space="0" w:color="000000"/>
              <w:end w:val="single" w:sz="4" w:space="0" w:color="000000"/>
            </w:tcBorders>
          </w:tcPr>
          <w:p>
            <w:pPr>
              <w:pStyle w:val="Header"/>
              <w:keepNext w:val="true"/>
              <w:keepLines/>
              <w:tabs>
                <w:tab w:val="clear" w:pos="4320"/>
                <w:tab w:val="clear" w:pos="8640"/>
              </w:tabs>
              <w:rPr/>
            </w:pPr>
            <w:r>
              <w:rPr/>
              <w:t>Timing of funding from Dynegy and the banks</w:t>
            </w:r>
          </w:p>
        </w:tc>
        <w:tc>
          <w:tcPr>
            <w:tcW w:w="1698" w:type="dxa"/>
            <w:tcBorders>
              <w:top w:val="single" w:sz="4" w:space="0" w:color="000000"/>
              <w:start w:val="single" w:sz="4" w:space="0" w:color="000000"/>
              <w:bottom w:val="single" w:sz="4" w:space="0" w:color="000000"/>
              <w:end w:val="single" w:sz="4" w:space="0" w:color="000000"/>
            </w:tcBorders>
          </w:tcPr>
          <w:p>
            <w:pPr>
              <w:pStyle w:val="Normal"/>
              <w:keepNext w:val="true"/>
              <w:keepLines/>
              <w:rPr/>
            </w:pPr>
            <w:r>
              <w:rPr/>
              <w:t>banks, rating agencies</w:t>
            </w:r>
          </w:p>
        </w:tc>
        <w:tc>
          <w:tcPr>
            <w:tcW w:w="6330" w:type="dxa"/>
            <w:tcBorders>
              <w:top w:val="single" w:sz="4" w:space="0" w:color="000000"/>
              <w:start w:val="single" w:sz="4" w:space="0" w:color="000000"/>
              <w:bottom w:val="single" w:sz="4" w:space="0" w:color="000000"/>
              <w:end w:val="single" w:sz="4" w:space="0" w:color="000000"/>
            </w:tcBorders>
          </w:tcPr>
          <w:p>
            <w:pPr>
              <w:pStyle w:val="Normal"/>
              <w:keepNext w:val="true"/>
              <w:keepLines/>
              <w:numPr>
                <w:ilvl w:val="0"/>
                <w:numId w:val="4"/>
              </w:numPr>
              <w:rPr/>
            </w:pPr>
            <w:r>
              <w:rPr/>
              <w:t>$1.5 billion received from Dynegy on 11/13/01.</w:t>
            </w:r>
          </w:p>
          <w:p>
            <w:pPr>
              <w:pStyle w:val="Normal"/>
              <w:keepNext w:val="true"/>
              <w:keepLines/>
              <w:numPr>
                <w:ilvl w:val="0"/>
                <w:numId w:val="4"/>
              </w:numPr>
              <w:rPr/>
            </w:pPr>
            <w:r>
              <w:rPr/>
              <w:t>$550 million from Citigroup and JP Morgan/Chase under secured facility.  Closed 11/14.</w:t>
            </w:r>
          </w:p>
          <w:p>
            <w:pPr>
              <w:pStyle w:val="Normal"/>
              <w:keepNext w:val="true"/>
              <w:keepLines/>
              <w:numPr>
                <w:ilvl w:val="0"/>
                <w:numId w:val="4"/>
              </w:numPr>
              <w:rPr/>
            </w:pPr>
            <w:r>
              <w:rPr/>
              <w:t>Expect the $450 million balance from Citigroup and JP Morgan/Chase to close next week.</w:t>
            </w:r>
          </w:p>
          <w:p>
            <w:pPr>
              <w:pStyle w:val="Normal"/>
              <w:keepNext w:val="true"/>
              <w:keepLines/>
              <w:jc w:val="both"/>
              <w:rPr/>
            </w:pPr>
            <w:r>
              <w:rPr/>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rPr/>
            </w:pPr>
            <w:r>
              <w:rPr/>
              <w:t>Impact of transaction on specific areas (</w:t>
            </w:r>
            <w:r>
              <w:rPr>
                <w:u w:val="single"/>
              </w:rPr>
              <w:t>e.g.</w:t>
            </w:r>
            <w:r>
              <w:rPr/>
              <w:t xml:space="preserve"> Portland, Japan, Florida and other office locations)</w:t>
            </w:r>
          </w:p>
          <w:p>
            <w:pPr>
              <w:pStyle w:val="Normal"/>
              <w:rPr/>
            </w:pPr>
            <w:r>
              <w:rPr/>
            </w:r>
          </w:p>
        </w:tc>
        <w:tc>
          <w:tcPr>
            <w:tcW w:w="169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6330" w:type="dxa"/>
            <w:tcBorders>
              <w:top w:val="single" w:sz="4" w:space="0" w:color="000000"/>
              <w:start w:val="single" w:sz="4" w:space="0" w:color="000000"/>
              <w:bottom w:val="single" w:sz="4" w:space="0" w:color="000000"/>
              <w:end w:val="single" w:sz="4" w:space="0" w:color="000000"/>
            </w:tcBorders>
          </w:tcPr>
          <w:p>
            <w:pPr>
              <w:pStyle w:val="Normal"/>
              <w:jc w:val="both"/>
              <w:rPr/>
            </w:pPr>
            <w:r>
              <w:rPr/>
              <w:t>Case by case</w:t>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rPr/>
            </w:pPr>
            <w:r>
              <w:rPr/>
              <w:t>Noncompete clauses - - who has them and how do they work.</w:t>
            </w:r>
          </w:p>
          <w:p>
            <w:pPr>
              <w:pStyle w:val="Normal"/>
              <w:rPr/>
            </w:pPr>
            <w:r>
              <w:rPr/>
            </w:r>
          </w:p>
        </w:tc>
        <w:tc>
          <w:tcPr>
            <w:tcW w:w="1698" w:type="dxa"/>
            <w:tcBorders>
              <w:top w:val="single" w:sz="4" w:space="0" w:color="000000"/>
              <w:start w:val="single" w:sz="4" w:space="0" w:color="000000"/>
              <w:bottom w:val="single" w:sz="4" w:space="0" w:color="000000"/>
              <w:end w:val="single" w:sz="4" w:space="0" w:color="000000"/>
            </w:tcBorders>
          </w:tcPr>
          <w:p>
            <w:pPr>
              <w:pStyle w:val="Normal"/>
              <w:rPr/>
            </w:pPr>
            <w:r>
              <w:rPr/>
              <w:t>media</w:t>
            </w:r>
          </w:p>
        </w:tc>
        <w:tc>
          <w:tcPr>
            <w:tcW w:w="6330" w:type="dxa"/>
            <w:tcBorders>
              <w:top w:val="single" w:sz="4" w:space="0" w:color="000000"/>
              <w:start w:val="single" w:sz="4" w:space="0" w:color="000000"/>
              <w:bottom w:val="single" w:sz="4" w:space="0" w:color="000000"/>
              <w:end w:val="single" w:sz="4" w:space="0" w:color="000000"/>
            </w:tcBorders>
          </w:tcPr>
          <w:p>
            <w:pPr>
              <w:pStyle w:val="Normal"/>
              <w:numPr>
                <w:ilvl w:val="0"/>
                <w:numId w:val="9"/>
              </w:numPr>
              <w:rPr/>
            </w:pPr>
            <w:r>
              <w:rPr/>
              <w:t>Enron has agreed to noncompete provisions with many of its critical employees.  We are not commenting on the specific terms.</w:t>
            </w:r>
          </w:p>
          <w:p>
            <w:pPr>
              <w:pStyle w:val="Normal"/>
              <w:numPr>
                <w:ilvl w:val="0"/>
                <w:numId w:val="9"/>
              </w:numPr>
              <w:rPr/>
            </w:pPr>
            <w:r>
              <w:rPr/>
              <w:t>The employees receive consideration for agreeing to noncompete clauses.</w:t>
            </w:r>
          </w:p>
          <w:p>
            <w:pPr>
              <w:pStyle w:val="Normal"/>
              <w:rPr/>
            </w:pPr>
            <w:r>
              <w:rPr/>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rPr/>
            </w:pPr>
            <w:r>
              <w:rPr/>
              <w:t>Are traders leaving Enron?</w:t>
            </w:r>
          </w:p>
          <w:p>
            <w:pPr>
              <w:pStyle w:val="Normal"/>
              <w:rPr/>
            </w:pPr>
            <w:r>
              <w:rPr/>
            </w:r>
          </w:p>
        </w:tc>
        <w:tc>
          <w:tcPr>
            <w:tcW w:w="1698" w:type="dxa"/>
            <w:tcBorders>
              <w:top w:val="single" w:sz="4" w:space="0" w:color="000000"/>
              <w:start w:val="single" w:sz="4" w:space="0" w:color="000000"/>
              <w:bottom w:val="single" w:sz="4" w:space="0" w:color="000000"/>
              <w:end w:val="single" w:sz="4" w:space="0" w:color="000000"/>
            </w:tcBorders>
          </w:tcPr>
          <w:p>
            <w:pPr>
              <w:pStyle w:val="Normal"/>
              <w:rPr/>
            </w:pPr>
            <w:r>
              <w:rPr/>
              <w:t>media, investors</w:t>
            </w:r>
          </w:p>
        </w:tc>
        <w:tc>
          <w:tcPr>
            <w:tcW w:w="6330" w:type="dxa"/>
            <w:tcBorders>
              <w:top w:val="single" w:sz="4" w:space="0" w:color="000000"/>
              <w:start w:val="single" w:sz="4" w:space="0" w:color="000000"/>
              <w:bottom w:val="single" w:sz="4" w:space="0" w:color="000000"/>
              <w:end w:val="single" w:sz="4" w:space="0" w:color="000000"/>
            </w:tcBorders>
          </w:tcPr>
          <w:p>
            <w:pPr>
              <w:pStyle w:val="Normal"/>
              <w:numPr>
                <w:ilvl w:val="0"/>
                <w:numId w:val="8"/>
              </w:numPr>
              <w:rPr/>
            </w:pPr>
            <w:r>
              <w:rPr/>
              <w:t>As previously disclosed we are reviewing our businesses and determining which are core and noncore.  Some of the businesses under review include trading operations.</w:t>
            </w:r>
          </w:p>
          <w:p>
            <w:pPr>
              <w:pStyle w:val="Normal"/>
              <w:numPr>
                <w:ilvl w:val="0"/>
                <w:numId w:val="8"/>
              </w:numPr>
              <w:rPr/>
            </w:pPr>
            <w:r>
              <w:rPr/>
              <w:t>We are not seeing significant departures of traders under our core businesses.</w:t>
            </w:r>
          </w:p>
          <w:p>
            <w:pPr>
              <w:pStyle w:val="Normal"/>
              <w:rPr/>
            </w:pPr>
            <w:r>
              <w:rPr/>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rPr/>
            </w:pPr>
            <w:r>
              <w:rPr/>
              <w:t>Are there change of control clauses in other employee's contracts?</w:t>
            </w:r>
          </w:p>
          <w:p>
            <w:pPr>
              <w:pStyle w:val="Normal"/>
              <w:rPr/>
            </w:pPr>
            <w:r>
              <w:rPr/>
            </w:r>
          </w:p>
        </w:tc>
        <w:tc>
          <w:tcPr>
            <w:tcW w:w="1698" w:type="dxa"/>
            <w:tcBorders>
              <w:top w:val="single" w:sz="4" w:space="0" w:color="000000"/>
              <w:start w:val="single" w:sz="4" w:space="0" w:color="000000"/>
              <w:bottom w:val="single" w:sz="4" w:space="0" w:color="000000"/>
              <w:end w:val="single" w:sz="4" w:space="0" w:color="000000"/>
            </w:tcBorders>
          </w:tcPr>
          <w:p>
            <w:pPr>
              <w:pStyle w:val="Normal"/>
              <w:rPr/>
            </w:pPr>
            <w:r>
              <w:rPr/>
              <w:t>media</w:t>
            </w:r>
          </w:p>
        </w:tc>
        <w:tc>
          <w:tcPr>
            <w:tcW w:w="633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p>
            <w:pPr>
              <w:pStyle w:val="Normal"/>
              <w:jc w:val="both"/>
              <w:rPr/>
            </w:pPr>
            <w:r>
              <w:rPr/>
              <w:t>[Eric will check]</w:t>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keepNext w:val="true"/>
              <w:keepLines/>
              <w:rPr/>
            </w:pPr>
            <w:r>
              <w:rPr/>
              <w:t>Why did Enron freeze employee 401K changes?</w:t>
            </w:r>
          </w:p>
          <w:p>
            <w:pPr>
              <w:pStyle w:val="Header"/>
              <w:keepNext w:val="true"/>
              <w:keepLines/>
              <w:tabs>
                <w:tab w:val="clear" w:pos="4320"/>
                <w:tab w:val="clear" w:pos="8640"/>
              </w:tabs>
              <w:rPr/>
            </w:pPr>
            <w:r>
              <w:rPr/>
            </w:r>
          </w:p>
        </w:tc>
        <w:tc>
          <w:tcPr>
            <w:tcW w:w="1698" w:type="dxa"/>
            <w:tcBorders>
              <w:top w:val="single" w:sz="4" w:space="0" w:color="000000"/>
              <w:start w:val="single" w:sz="4" w:space="0" w:color="000000"/>
              <w:bottom w:val="single" w:sz="4" w:space="0" w:color="000000"/>
              <w:end w:val="single" w:sz="4" w:space="0" w:color="000000"/>
            </w:tcBorders>
          </w:tcPr>
          <w:p>
            <w:pPr>
              <w:pStyle w:val="Normal"/>
              <w:keepNext w:val="true"/>
              <w:keepLines/>
              <w:rPr/>
            </w:pPr>
            <w:r>
              <w:rPr/>
              <w:t>media</w:t>
            </w:r>
          </w:p>
        </w:tc>
        <w:tc>
          <w:tcPr>
            <w:tcW w:w="6330" w:type="dxa"/>
            <w:tcBorders>
              <w:top w:val="single" w:sz="4" w:space="0" w:color="000000"/>
              <w:start w:val="single" w:sz="4" w:space="0" w:color="000000"/>
              <w:bottom w:val="single" w:sz="4" w:space="0" w:color="000000"/>
              <w:end w:val="single" w:sz="4" w:space="0" w:color="000000"/>
            </w:tcBorders>
          </w:tcPr>
          <w:p>
            <w:pPr>
              <w:pStyle w:val="Normal"/>
              <w:keepNext w:val="true"/>
              <w:keepLines/>
              <w:rPr/>
            </w:pPr>
            <w:r>
              <w:rPr/>
              <w:t>[Karen confirming with C. Barrow]</w:t>
            </w:r>
          </w:p>
          <w:p>
            <w:pPr>
              <w:pStyle w:val="Normal"/>
              <w:keepNext w:val="true"/>
              <w:keepLines/>
              <w:numPr>
                <w:ilvl w:val="0"/>
                <w:numId w:val="6"/>
              </w:numPr>
              <w:rPr/>
            </w:pPr>
            <w:r>
              <w:rPr/>
              <w:t>Enron has been in the process of changing its plan administrator.</w:t>
            </w:r>
          </w:p>
          <w:p>
            <w:pPr>
              <w:pStyle w:val="Normal"/>
              <w:keepNext w:val="true"/>
              <w:keepLines/>
              <w:numPr>
                <w:ilvl w:val="0"/>
                <w:numId w:val="6"/>
              </w:numPr>
              <w:rPr/>
            </w:pPr>
            <w:r>
              <w:rPr/>
              <w:t>The record and data transfer and the process set</w:t>
              <w:noBreakHyphen/>
              <w:t>up takes several weeks.</w:t>
            </w:r>
          </w:p>
          <w:p>
            <w:pPr>
              <w:pStyle w:val="Normal"/>
              <w:keepNext w:val="true"/>
              <w:keepLines/>
              <w:numPr>
                <w:ilvl w:val="0"/>
                <w:numId w:val="6"/>
              </w:numPr>
              <w:rPr/>
            </w:pPr>
            <w:r>
              <w:rPr/>
              <w:t>Employees were notified well in advance and we accelerated the transition.  Employees can now make changes.</w:t>
            </w:r>
          </w:p>
          <w:p>
            <w:pPr>
              <w:pStyle w:val="Normal"/>
              <w:keepNext w:val="true"/>
              <w:keepLines/>
              <w:rPr/>
            </w:pPr>
            <w:r>
              <w:rPr/>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rPr/>
            </w:pPr>
            <w:r>
              <w:rPr/>
              <w:t>What is Andy Fastow's status?</w:t>
            </w:r>
          </w:p>
        </w:tc>
        <w:tc>
          <w:tcPr>
            <w:tcW w:w="1698" w:type="dxa"/>
            <w:tcBorders>
              <w:top w:val="single" w:sz="4" w:space="0" w:color="000000"/>
              <w:start w:val="single" w:sz="4" w:space="0" w:color="000000"/>
              <w:bottom w:val="single" w:sz="4" w:space="0" w:color="000000"/>
              <w:end w:val="single" w:sz="4" w:space="0" w:color="000000"/>
            </w:tcBorders>
          </w:tcPr>
          <w:p>
            <w:pPr>
              <w:pStyle w:val="Normal"/>
              <w:rPr/>
            </w:pPr>
            <w:r>
              <w:rPr/>
              <w:t>media</w:t>
            </w:r>
          </w:p>
        </w:tc>
        <w:tc>
          <w:tcPr>
            <w:tcW w:w="6330" w:type="dxa"/>
            <w:tcBorders>
              <w:top w:val="single" w:sz="4" w:space="0" w:color="000000"/>
              <w:start w:val="single" w:sz="4" w:space="0" w:color="000000"/>
              <w:bottom w:val="single" w:sz="4" w:space="0" w:color="000000"/>
              <w:end w:val="single" w:sz="4" w:space="0" w:color="000000"/>
            </w:tcBorders>
          </w:tcPr>
          <w:p>
            <w:pPr>
              <w:pStyle w:val="Normal"/>
              <w:numPr>
                <w:ilvl w:val="0"/>
                <w:numId w:val="7"/>
              </w:numPr>
              <w:rPr/>
            </w:pPr>
            <w:r>
              <w:rPr/>
              <w:t>Fastow no longer works here.</w:t>
            </w:r>
          </w:p>
          <w:p>
            <w:pPr>
              <w:pStyle w:val="Normal"/>
              <w:numPr>
                <w:ilvl w:val="0"/>
                <w:numId w:val="7"/>
              </w:numPr>
              <w:rPr/>
            </w:pPr>
            <w:r>
              <w:rPr/>
              <w:t>Special Committee is still reviewing the facts underlying the related party transactions and considering the appropriate action.</w:t>
            </w:r>
          </w:p>
          <w:p>
            <w:pPr>
              <w:pStyle w:val="Normal"/>
              <w:numPr>
                <w:ilvl w:val="0"/>
                <w:numId w:val="7"/>
              </w:numPr>
              <w:rPr/>
            </w:pPr>
            <w:r>
              <w:rPr/>
              <w:t>No severance payment has been made to Fastow.</w:t>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keepNext w:val="true"/>
              <w:keepLines/>
              <w:rPr/>
            </w:pPr>
            <w:r>
              <w:rPr/>
              <w:t>Enron has identified Broadband as noncore, but Dynegy has said Broadband remains.</w:t>
            </w:r>
          </w:p>
          <w:p>
            <w:pPr>
              <w:pStyle w:val="Normal"/>
              <w:keepNext w:val="true"/>
              <w:keepLines/>
              <w:rPr/>
            </w:pPr>
            <w:r>
              <w:rPr/>
            </w:r>
          </w:p>
        </w:tc>
        <w:tc>
          <w:tcPr>
            <w:tcW w:w="1698" w:type="dxa"/>
            <w:tcBorders>
              <w:top w:val="single" w:sz="4" w:space="0" w:color="000000"/>
              <w:start w:val="single" w:sz="4" w:space="0" w:color="000000"/>
              <w:bottom w:val="single" w:sz="4" w:space="0" w:color="000000"/>
              <w:end w:val="single" w:sz="4" w:space="0" w:color="000000"/>
            </w:tcBorders>
          </w:tcPr>
          <w:p>
            <w:pPr>
              <w:pStyle w:val="Normal"/>
              <w:keepNext w:val="true"/>
              <w:keepLines/>
              <w:rPr/>
            </w:pPr>
            <w:r>
              <w:rPr/>
              <w:t>media</w:t>
            </w:r>
          </w:p>
        </w:tc>
        <w:tc>
          <w:tcPr>
            <w:tcW w:w="6330" w:type="dxa"/>
            <w:tcBorders>
              <w:top w:val="single" w:sz="4" w:space="0" w:color="000000"/>
              <w:start w:val="single" w:sz="4" w:space="0" w:color="000000"/>
              <w:bottom w:val="single" w:sz="4" w:space="0" w:color="000000"/>
              <w:end w:val="single" w:sz="4" w:space="0" w:color="000000"/>
            </w:tcBorders>
          </w:tcPr>
          <w:p>
            <w:pPr>
              <w:pStyle w:val="Normal"/>
              <w:keepNext w:val="true"/>
              <w:keepLines/>
              <w:numPr>
                <w:ilvl w:val="0"/>
                <w:numId w:val="11"/>
              </w:numPr>
              <w:rPr/>
            </w:pPr>
            <w:r>
              <w:rPr/>
              <w:t>Enron's plan for the broadband business have been discussed with Dynegy and these actions are consistent with Dynegy's strategy.</w:t>
            </w:r>
          </w:p>
          <w:p>
            <w:pPr>
              <w:pStyle w:val="Normal"/>
              <w:keepNext w:val="true"/>
              <w:keepLines/>
              <w:numPr>
                <w:ilvl w:val="0"/>
                <w:numId w:val="11"/>
              </w:numPr>
              <w:rPr/>
            </w:pPr>
            <w:r>
              <w:rPr/>
              <w:t>Dynegy's broadband business has had a narrower focus, so Enron's reduced activity does not adversely impact Dynegy's strategy.</w:t>
            </w:r>
          </w:p>
          <w:p>
            <w:pPr>
              <w:pStyle w:val="Normal"/>
              <w:keepNext w:val="true"/>
              <w:keepLines/>
              <w:rPr/>
            </w:pPr>
            <w:r>
              <w:rPr/>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rPr/>
            </w:pPr>
            <w:r>
              <w:rPr/>
              <w:t>Why isn't Andersen reviewing the 10Q?</w:t>
            </w:r>
          </w:p>
        </w:tc>
        <w:tc>
          <w:tcPr>
            <w:tcW w:w="169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6330" w:type="dxa"/>
            <w:tcBorders>
              <w:top w:val="single" w:sz="4" w:space="0" w:color="000000"/>
              <w:start w:val="single" w:sz="4" w:space="0" w:color="000000"/>
              <w:bottom w:val="single" w:sz="4" w:space="0" w:color="000000"/>
              <w:end w:val="single" w:sz="4" w:space="0" w:color="000000"/>
            </w:tcBorders>
          </w:tcPr>
          <w:p>
            <w:pPr>
              <w:pStyle w:val="Normal"/>
              <w:autoSpaceDE w:val="false"/>
              <w:rPr/>
            </w:pPr>
            <w:r>
              <w:rPr/>
              <w:t>Because the Special Committee of the Board of Directors’ investigation into related party transactions may impact the unaudited results of the 10Q, the filing does not include a review of Enron’s consolidated financial statements by Andersen LLP, the company’s independent auditors.</w:t>
            </w:r>
          </w:p>
          <w:p>
            <w:pPr>
              <w:pStyle w:val="BodyText2"/>
              <w:jc w:val="start"/>
              <w:rPr/>
            </w:pPr>
            <w:r>
              <w:rPr/>
            </w:r>
          </w:p>
          <w:p>
            <w:pPr>
              <w:pStyle w:val="Normal"/>
              <w:rPr/>
            </w:pPr>
            <w:r>
              <w:rPr/>
            </w:r>
          </w:p>
        </w:tc>
      </w:tr>
    </w:tbl>
    <w:p>
      <w:pPr>
        <w:pStyle w:val="Heading1"/>
        <w:keepNext w:val="false"/>
        <w:ind w:hanging="0" w:start="0"/>
        <w:jc w:val="center"/>
        <w:rPr/>
      </w:pPr>
      <w:r>
        <w:br w:type="page"/>
      </w:r>
      <w:r>
        <w:rPr/>
        <w:t>Communications Groups</w:t>
      </w:r>
    </w:p>
    <w:p>
      <w:pPr>
        <w:pStyle w:val="Normal"/>
        <w:jc w:val="both"/>
        <w:rPr/>
      </w:pPr>
      <w:r>
        <w:rPr/>
      </w:r>
    </w:p>
    <w:tbl>
      <w:tblPr>
        <w:tblW w:w="13176" w:type="dxa"/>
        <w:jc w:val="start"/>
        <w:tblInd w:w="0" w:type="dxa"/>
        <w:tblLayout w:type="fixed"/>
        <w:tblCellMar>
          <w:top w:w="0" w:type="dxa"/>
          <w:start w:w="108" w:type="dxa"/>
          <w:bottom w:w="0" w:type="dxa"/>
          <w:end w:w="108" w:type="dxa"/>
        </w:tblCellMar>
      </w:tblPr>
      <w:tblGrid>
        <w:gridCol w:w="6588"/>
        <w:gridCol w:w="6588"/>
      </w:tblGrid>
      <w:tr>
        <w:trPr/>
        <w:tc>
          <w:tcPr>
            <w:tcW w:w="6588" w:type="dxa"/>
            <w:tcBorders>
              <w:top w:val="single" w:sz="4" w:space="0" w:color="000000"/>
              <w:start w:val="single" w:sz="4" w:space="0" w:color="000000"/>
              <w:bottom w:val="single" w:sz="4" w:space="0" w:color="000000"/>
              <w:end w:val="single" w:sz="4" w:space="0" w:color="000000"/>
            </w:tcBorders>
          </w:tcPr>
          <w:p>
            <w:pPr>
              <w:pStyle w:val="Heading1"/>
              <w:ind w:firstLine="720" w:start="0" w:end="0"/>
              <w:rPr/>
            </w:pPr>
            <w:r>
              <w:rPr/>
              <w:t>Investor Relations</w:t>
              <w:tab/>
              <w:tab/>
              <w:tab/>
            </w:r>
          </w:p>
          <w:p>
            <w:pPr>
              <w:pStyle w:val="Normal"/>
              <w:ind w:start="1152" w:end="0"/>
              <w:jc w:val="both"/>
              <w:rPr/>
            </w:pPr>
            <w:r>
              <w:rPr/>
              <w:t>Mark Koenig</w:t>
            </w:r>
          </w:p>
          <w:p>
            <w:pPr>
              <w:pStyle w:val="Normal"/>
              <w:ind w:start="1152" w:end="0"/>
              <w:jc w:val="both"/>
              <w:rPr/>
            </w:pPr>
            <w:r>
              <w:rPr/>
              <w:t>David LeBoe</w:t>
            </w:r>
          </w:p>
          <w:p>
            <w:pPr>
              <w:pStyle w:val="Normal"/>
              <w:ind w:start="1152" w:end="0"/>
              <w:jc w:val="both"/>
              <w:rPr/>
            </w:pPr>
            <w:r>
              <w:rPr/>
              <w:t>Amin Maredia</w:t>
            </w:r>
          </w:p>
          <w:p>
            <w:pPr>
              <w:pStyle w:val="Normal"/>
              <w:ind w:start="1152" w:end="0"/>
              <w:jc w:val="both"/>
              <w:rPr/>
            </w:pPr>
            <w:r>
              <w:rPr/>
              <w:t>Gay Mayeux</w:t>
            </w:r>
          </w:p>
          <w:p>
            <w:pPr>
              <w:pStyle w:val="Normal"/>
              <w:jc w:val="both"/>
              <w:rPr/>
            </w:pPr>
            <w:r>
              <w:rPr/>
            </w:r>
          </w:p>
        </w:tc>
        <w:tc>
          <w:tcPr>
            <w:tcW w:w="6588" w:type="dxa"/>
            <w:tcBorders>
              <w:top w:val="single" w:sz="4" w:space="0" w:color="000000"/>
              <w:start w:val="single" w:sz="4" w:space="0" w:color="000000"/>
              <w:bottom w:val="single" w:sz="4" w:space="0" w:color="000000"/>
              <w:end w:val="single" w:sz="4" w:space="0" w:color="000000"/>
            </w:tcBorders>
          </w:tcPr>
          <w:p>
            <w:pPr>
              <w:pStyle w:val="Heading1"/>
              <w:ind w:firstLine="720" w:start="0" w:end="0"/>
              <w:rPr/>
            </w:pPr>
            <w:r>
              <w:rPr/>
              <w:t>Customers</w:t>
            </w:r>
          </w:p>
          <w:p>
            <w:pPr>
              <w:pStyle w:val="Normal"/>
              <w:ind w:start="1152" w:end="0"/>
              <w:jc w:val="both"/>
              <w:rPr/>
            </w:pPr>
            <w:r>
              <w:rPr/>
              <w:t>Jackie Gentle</w:t>
            </w:r>
          </w:p>
          <w:p>
            <w:pPr>
              <w:pStyle w:val="Normal"/>
              <w:ind w:start="1152" w:end="0"/>
              <w:jc w:val="both"/>
              <w:rPr/>
            </w:pPr>
            <w:r>
              <w:rPr/>
              <w:t>Beth Tilney</w:t>
            </w:r>
          </w:p>
          <w:p>
            <w:pPr>
              <w:pStyle w:val="Normal"/>
              <w:jc w:val="both"/>
              <w:rPr/>
            </w:pPr>
            <w:r>
              <w:rPr/>
            </w:r>
          </w:p>
        </w:tc>
      </w:tr>
      <w:tr>
        <w:trPr/>
        <w:tc>
          <w:tcPr>
            <w:tcW w:w="6588" w:type="dxa"/>
            <w:tcBorders>
              <w:top w:val="single" w:sz="4" w:space="0" w:color="000000"/>
              <w:start w:val="single" w:sz="4" w:space="0" w:color="000000"/>
              <w:bottom w:val="single" w:sz="4" w:space="0" w:color="000000"/>
              <w:end w:val="single" w:sz="4" w:space="0" w:color="000000"/>
            </w:tcBorders>
          </w:tcPr>
          <w:p>
            <w:pPr>
              <w:pStyle w:val="Heading1"/>
              <w:ind w:firstLine="720" w:start="0" w:end="0"/>
              <w:rPr/>
            </w:pPr>
            <w:r>
              <w:rPr/>
              <w:t>Media Relations</w:t>
            </w:r>
          </w:p>
          <w:p>
            <w:pPr>
              <w:pStyle w:val="Normal"/>
              <w:ind w:start="1152" w:end="0"/>
              <w:jc w:val="both"/>
              <w:rPr/>
            </w:pPr>
            <w:r>
              <w:rPr/>
              <w:t>John Ambler</w:t>
            </w:r>
          </w:p>
          <w:p>
            <w:pPr>
              <w:pStyle w:val="Normal"/>
              <w:ind w:start="1152" w:end="0"/>
              <w:jc w:val="both"/>
              <w:rPr/>
            </w:pPr>
            <w:r>
              <w:rPr/>
              <w:t>Karen Denne</w:t>
            </w:r>
          </w:p>
          <w:p>
            <w:pPr>
              <w:pStyle w:val="Normal"/>
              <w:ind w:start="1152" w:end="0"/>
              <w:jc w:val="both"/>
              <w:rPr/>
            </w:pPr>
            <w:r>
              <w:rPr/>
              <w:t>Jackie Gentle</w:t>
            </w:r>
          </w:p>
          <w:p>
            <w:pPr>
              <w:pStyle w:val="Normal"/>
              <w:ind w:start="1152" w:end="0"/>
              <w:jc w:val="both"/>
              <w:rPr/>
            </w:pPr>
            <w:r>
              <w:rPr/>
              <w:t>Vance Meyer</w:t>
            </w:r>
          </w:p>
          <w:p>
            <w:pPr>
              <w:pStyle w:val="Normal"/>
              <w:ind w:start="1152" w:end="0"/>
              <w:jc w:val="both"/>
              <w:rPr/>
            </w:pPr>
            <w:r>
              <w:rPr/>
              <w:t>Mark Palmer</w:t>
            </w:r>
          </w:p>
          <w:p>
            <w:pPr>
              <w:pStyle w:val="Normal"/>
              <w:ind w:start="1152" w:end="0"/>
              <w:jc w:val="both"/>
              <w:rPr/>
            </w:pPr>
            <w:r>
              <w:rPr/>
              <w:t>Meredith Philipp</w:t>
            </w:r>
          </w:p>
          <w:p>
            <w:pPr>
              <w:pStyle w:val="Normal"/>
              <w:ind w:start="1152" w:end="0"/>
              <w:jc w:val="both"/>
              <w:rPr/>
            </w:pPr>
            <w:r>
              <w:rPr/>
              <w:t>Eric Thode</w:t>
            </w:r>
          </w:p>
          <w:p>
            <w:pPr>
              <w:pStyle w:val="Normal"/>
              <w:jc w:val="both"/>
              <w:rPr/>
            </w:pPr>
            <w:r>
              <w:rPr/>
            </w:r>
          </w:p>
        </w:tc>
        <w:tc>
          <w:tcPr>
            <w:tcW w:w="6588" w:type="dxa"/>
            <w:tcBorders>
              <w:top w:val="single" w:sz="4" w:space="0" w:color="000000"/>
              <w:start w:val="single" w:sz="4" w:space="0" w:color="000000"/>
              <w:bottom w:val="single" w:sz="4" w:space="0" w:color="000000"/>
              <w:end w:val="single" w:sz="4" w:space="0" w:color="000000"/>
            </w:tcBorders>
          </w:tcPr>
          <w:p>
            <w:pPr>
              <w:pStyle w:val="Heading1"/>
              <w:ind w:firstLine="720" w:start="0" w:end="0"/>
              <w:rPr/>
            </w:pPr>
            <w:r>
              <w:rPr/>
              <w:t xml:space="preserve">Employee communications </w:t>
            </w:r>
          </w:p>
          <w:p>
            <w:pPr>
              <w:pStyle w:val="Normal"/>
              <w:ind w:start="1152" w:end="0"/>
              <w:jc w:val="both"/>
              <w:rPr/>
            </w:pPr>
            <w:r>
              <w:rPr/>
              <w:t>Karen Denne</w:t>
            </w:r>
          </w:p>
          <w:p>
            <w:pPr>
              <w:pStyle w:val="Normal"/>
              <w:ind w:start="1152" w:end="0"/>
              <w:jc w:val="both"/>
              <w:rPr/>
            </w:pPr>
            <w:r>
              <w:rPr/>
              <w:t>Jackie Gentle</w:t>
            </w:r>
          </w:p>
          <w:p>
            <w:pPr>
              <w:pStyle w:val="Normal"/>
              <w:ind w:start="1152" w:end="0"/>
              <w:jc w:val="both"/>
              <w:rPr/>
            </w:pPr>
            <w:r>
              <w:rPr/>
              <w:t>Cindy Olson</w:t>
            </w:r>
          </w:p>
          <w:p>
            <w:pPr>
              <w:pStyle w:val="Normal"/>
              <w:ind w:start="1152" w:end="0"/>
              <w:jc w:val="both"/>
              <w:rPr/>
            </w:pPr>
            <w:r>
              <w:rPr/>
              <w:t>Beth Tilney</w:t>
            </w:r>
          </w:p>
          <w:p>
            <w:pPr>
              <w:pStyle w:val="Normal"/>
              <w:jc w:val="both"/>
              <w:rPr/>
            </w:pPr>
            <w:r>
              <w:rPr/>
            </w:r>
          </w:p>
        </w:tc>
      </w:tr>
      <w:tr>
        <w:trPr/>
        <w:tc>
          <w:tcPr>
            <w:tcW w:w="6588" w:type="dxa"/>
            <w:tcBorders>
              <w:top w:val="single" w:sz="4" w:space="0" w:color="000000"/>
              <w:start w:val="single" w:sz="4" w:space="0" w:color="000000"/>
              <w:bottom w:val="single" w:sz="4" w:space="0" w:color="000000"/>
              <w:end w:val="single" w:sz="4" w:space="0" w:color="000000"/>
            </w:tcBorders>
          </w:tcPr>
          <w:p>
            <w:pPr>
              <w:pStyle w:val="Heading1"/>
              <w:ind w:firstLine="720" w:start="0" w:end="0"/>
              <w:rPr/>
            </w:pPr>
            <w:r>
              <w:rPr/>
              <w:t>Rating Agencies</w:t>
            </w:r>
          </w:p>
          <w:p>
            <w:pPr>
              <w:pStyle w:val="Normal"/>
              <w:ind w:start="1152" w:end="0"/>
              <w:jc w:val="both"/>
              <w:rPr/>
            </w:pPr>
            <w:r>
              <w:rPr/>
              <w:t>Greg Caudell</w:t>
            </w:r>
          </w:p>
          <w:p>
            <w:pPr>
              <w:pStyle w:val="Normal"/>
              <w:ind w:start="1152" w:end="0"/>
              <w:jc w:val="both"/>
              <w:rPr/>
            </w:pPr>
            <w:r>
              <w:rPr/>
              <w:t>Tim DeSpain</w:t>
            </w:r>
          </w:p>
          <w:p>
            <w:pPr>
              <w:pStyle w:val="Normal"/>
              <w:ind w:start="1152" w:end="0"/>
              <w:jc w:val="both"/>
              <w:rPr/>
            </w:pPr>
            <w:r>
              <w:rPr/>
              <w:t>Clint Freeland</w:t>
            </w:r>
          </w:p>
          <w:p>
            <w:pPr>
              <w:pStyle w:val="Normal"/>
              <w:ind w:start="1152" w:end="0"/>
              <w:jc w:val="both"/>
              <w:rPr/>
            </w:pPr>
            <w:r>
              <w:rPr/>
              <w:t>Jeff McMahon</w:t>
            </w:r>
          </w:p>
          <w:p>
            <w:pPr>
              <w:pStyle w:val="Heading1"/>
              <w:ind w:firstLine="720" w:start="0" w:end="0"/>
              <w:rPr/>
            </w:pPr>
            <w:r>
              <w:rPr/>
            </w:r>
          </w:p>
        </w:tc>
        <w:tc>
          <w:tcPr>
            <w:tcW w:w="6588" w:type="dxa"/>
            <w:tcBorders>
              <w:top w:val="single" w:sz="4" w:space="0" w:color="000000"/>
              <w:start w:val="single" w:sz="4" w:space="0" w:color="000000"/>
              <w:bottom w:val="single" w:sz="4" w:space="0" w:color="000000"/>
              <w:end w:val="single" w:sz="4" w:space="0" w:color="000000"/>
            </w:tcBorders>
          </w:tcPr>
          <w:p>
            <w:pPr>
              <w:pStyle w:val="Heading1"/>
              <w:ind w:firstLine="720" w:start="0" w:end="0"/>
              <w:rPr/>
            </w:pPr>
            <w:r>
              <w:rPr/>
              <w:t>Legal</w:t>
            </w:r>
          </w:p>
          <w:p>
            <w:pPr>
              <w:pStyle w:val="Normal"/>
              <w:ind w:start="1152" w:end="0"/>
              <w:jc w:val="both"/>
              <w:rPr/>
            </w:pPr>
            <w:r>
              <w:rPr/>
              <w:t>Anne Koehler</w:t>
            </w:r>
          </w:p>
          <w:p>
            <w:pPr>
              <w:pStyle w:val="Normal"/>
              <w:ind w:start="1152" w:end="0"/>
              <w:jc w:val="both"/>
              <w:rPr/>
            </w:pPr>
            <w:r>
              <w:rPr/>
              <w:t>Julia Murray</w:t>
            </w:r>
          </w:p>
          <w:p>
            <w:pPr>
              <w:pStyle w:val="Normal"/>
              <w:ind w:start="1152" w:end="0"/>
              <w:jc w:val="both"/>
              <w:rPr/>
            </w:pPr>
            <w:r>
              <w:rPr/>
              <w:t>Elizabeth Sager</w:t>
            </w:r>
          </w:p>
          <w:p>
            <w:pPr>
              <w:pStyle w:val="Normal"/>
              <w:ind w:start="1152" w:end="0"/>
              <w:jc w:val="both"/>
              <w:rPr/>
            </w:pPr>
            <w:r>
              <w:rPr/>
              <w:t>Lance Schuler</w:t>
            </w:r>
          </w:p>
          <w:p>
            <w:pPr>
              <w:pStyle w:val="Normal"/>
              <w:jc w:val="both"/>
              <w:rPr/>
            </w:pPr>
            <w:r>
              <w:rPr/>
            </w:r>
          </w:p>
        </w:tc>
      </w:tr>
      <w:tr>
        <w:trPr/>
        <w:tc>
          <w:tcPr>
            <w:tcW w:w="6588" w:type="dxa"/>
            <w:tcBorders>
              <w:top w:val="single" w:sz="4" w:space="0" w:color="000000"/>
              <w:start w:val="single" w:sz="4" w:space="0" w:color="000000"/>
              <w:bottom w:val="single" w:sz="4" w:space="0" w:color="000000"/>
              <w:end w:val="single" w:sz="4" w:space="0" w:color="000000"/>
            </w:tcBorders>
          </w:tcPr>
          <w:p>
            <w:pPr>
              <w:pStyle w:val="Heading1"/>
              <w:ind w:firstLine="720" w:start="0" w:end="0"/>
              <w:rPr/>
            </w:pPr>
            <w:r>
              <w:rPr/>
              <w:t>Banks</w:t>
            </w:r>
          </w:p>
          <w:p>
            <w:pPr>
              <w:pStyle w:val="Normal"/>
              <w:ind w:start="1152" w:end="0"/>
              <w:jc w:val="both"/>
              <w:rPr/>
            </w:pPr>
            <w:r>
              <w:rPr/>
              <w:t>Bill Brown</w:t>
            </w:r>
          </w:p>
          <w:p>
            <w:pPr>
              <w:pStyle w:val="Normal"/>
              <w:ind w:start="1152" w:end="0"/>
              <w:jc w:val="both"/>
              <w:rPr/>
            </w:pPr>
            <w:r>
              <w:rPr/>
              <w:t>Jeff McMahon</w:t>
            </w:r>
          </w:p>
          <w:p>
            <w:pPr>
              <w:pStyle w:val="Heading1"/>
              <w:ind w:firstLine="720" w:start="0" w:end="0"/>
              <w:rPr/>
            </w:pPr>
            <w:r>
              <w:rPr/>
            </w:r>
          </w:p>
        </w:tc>
        <w:tc>
          <w:tcPr>
            <w:tcW w:w="6588" w:type="dxa"/>
            <w:tcBorders>
              <w:top w:val="single" w:sz="4" w:space="0" w:color="000000"/>
              <w:start w:val="single" w:sz="4" w:space="0" w:color="000000"/>
              <w:bottom w:val="single" w:sz="4" w:space="0" w:color="000000"/>
              <w:end w:val="single" w:sz="4" w:space="0" w:color="000000"/>
            </w:tcBorders>
          </w:tcPr>
          <w:p>
            <w:pPr>
              <w:pStyle w:val="Heading1"/>
              <w:ind w:firstLine="720" w:start="0" w:end="0"/>
              <w:rPr/>
            </w:pPr>
            <w:r>
              <w:rPr/>
              <w:t>Accounting</w:t>
            </w:r>
          </w:p>
          <w:p>
            <w:pPr>
              <w:pStyle w:val="Normal"/>
              <w:ind w:start="1152" w:end="0"/>
              <w:jc w:val="both"/>
              <w:rPr/>
            </w:pPr>
            <w:r>
              <w:rPr/>
              <w:t>Rodney Faldyn</w:t>
            </w:r>
          </w:p>
          <w:p>
            <w:pPr>
              <w:pStyle w:val="Normal"/>
              <w:ind w:start="1152" w:end="0"/>
              <w:jc w:val="both"/>
              <w:rPr/>
            </w:pPr>
            <w:r>
              <w:rPr/>
              <w:t>Ryan Siurek</w:t>
            </w:r>
          </w:p>
          <w:p>
            <w:pPr>
              <w:pStyle w:val="Normal"/>
              <w:jc w:val="both"/>
              <w:rPr/>
            </w:pPr>
            <w:r>
              <w:rPr/>
            </w:r>
          </w:p>
          <w:p>
            <w:pPr>
              <w:pStyle w:val="Normal"/>
              <w:jc w:val="both"/>
              <w:rPr/>
            </w:pPr>
            <w:r>
              <w:rPr/>
            </w:r>
          </w:p>
        </w:tc>
      </w:tr>
      <w:tr>
        <w:trPr/>
        <w:tc>
          <w:tcPr>
            <w:tcW w:w="6588" w:type="dxa"/>
            <w:tcBorders>
              <w:top w:val="single" w:sz="4" w:space="0" w:color="000000"/>
              <w:start w:val="single" w:sz="4" w:space="0" w:color="000000"/>
              <w:bottom w:val="single" w:sz="4" w:space="0" w:color="000000"/>
              <w:end w:val="single" w:sz="4" w:space="0" w:color="000000"/>
            </w:tcBorders>
          </w:tcPr>
          <w:p>
            <w:pPr>
              <w:pStyle w:val="Heading1"/>
              <w:ind w:firstLine="720" w:start="0" w:end="0"/>
              <w:rPr/>
            </w:pPr>
            <w:r>
              <w:rPr/>
              <w:t>Human Resources</w:t>
            </w:r>
          </w:p>
          <w:p>
            <w:pPr>
              <w:pStyle w:val="Normal"/>
              <w:ind w:start="1152" w:end="0"/>
              <w:jc w:val="both"/>
              <w:rPr/>
            </w:pPr>
            <w:r>
              <w:rPr/>
              <w:t>Scott Gilchrist</w:t>
            </w:r>
          </w:p>
          <w:p>
            <w:pPr>
              <w:pStyle w:val="Normal"/>
              <w:ind w:start="1152" w:end="0"/>
              <w:jc w:val="both"/>
              <w:rPr/>
            </w:pPr>
            <w:r>
              <w:rPr/>
              <w:t>Cindy Olson</w:t>
            </w:r>
          </w:p>
          <w:p>
            <w:pPr>
              <w:pStyle w:val="Normal"/>
              <w:ind w:start="1152" w:end="0"/>
              <w:jc w:val="both"/>
              <w:rPr/>
            </w:pPr>
            <w:r>
              <w:rPr/>
              <w:t>Tim O'Rourke</w:t>
            </w:r>
          </w:p>
          <w:p>
            <w:pPr>
              <w:pStyle w:val="Normal"/>
              <w:ind w:start="1152" w:end="0"/>
              <w:jc w:val="both"/>
              <w:rPr>
                <w:vertAlign w:val="subscript"/>
              </w:rPr>
            </w:pPr>
            <w:r>
              <w:rPr/>
              <w:t>David Oxley</w:t>
            </w:r>
          </w:p>
          <w:p>
            <w:pPr>
              <w:pStyle w:val="Heading1"/>
              <w:ind w:firstLine="720" w:start="0" w:end="0"/>
              <w:rPr>
                <w:vertAlign w:val="subscript"/>
              </w:rPr>
            </w:pPr>
            <w:r>
              <w:rPr>
                <w:vertAlign w:val="subscript"/>
              </w:rPr>
            </w:r>
          </w:p>
        </w:tc>
        <w:tc>
          <w:tcPr>
            <w:tcW w:w="6588" w:type="dxa"/>
            <w:tcBorders>
              <w:top w:val="single" w:sz="4" w:space="0" w:color="000000"/>
              <w:start w:val="single" w:sz="4" w:space="0" w:color="000000"/>
              <w:bottom w:val="single" w:sz="4" w:space="0" w:color="000000"/>
              <w:end w:val="single" w:sz="4" w:space="0" w:color="000000"/>
            </w:tcBorders>
          </w:tcPr>
          <w:p>
            <w:pPr>
              <w:pStyle w:val="Heading1"/>
              <w:snapToGrid w:val="false"/>
              <w:ind w:firstLine="720" w:start="0" w:end="0"/>
              <w:rPr/>
            </w:pPr>
            <w:r>
              <w:rPr/>
            </w:r>
          </w:p>
        </w:tc>
      </w:tr>
    </w:tbl>
    <w:p>
      <w:pPr>
        <w:pStyle w:val="Normal"/>
        <w:jc w:val="both"/>
        <w:rPr/>
      </w:pPr>
      <w:r>
        <w:rPr/>
      </w:r>
    </w:p>
    <w:sectPr>
      <w:footerReference w:type="default" r:id="rId2"/>
      <w:type w:val="nextPage"/>
      <w:pgSz w:orient="landscape" w:w="15840" w:h="12240"/>
      <w:pgMar w:left="1440" w:right="1440" w:gutter="0" w:header="0" w:top="720" w:footer="432"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432"/>
        </w:tabs>
        <w:ind w:start="432" w:hanging="432"/>
      </w:pPr>
      <w:rPr>
        <w:rFonts w:ascii="Symbol" w:hAnsi="Symbol" w:cs="Symbol" w:hint="default"/>
        <w:color w:val="000000"/>
      </w:rPr>
    </w:lvl>
  </w:abstractNum>
  <w:abstractNum w:abstractNumId="3">
    <w:lvl w:ilvl="0">
      <w:start w:val="1"/>
      <w:numFmt w:val="bullet"/>
      <w:lvlText w:val=""/>
      <w:lvlJc w:val="start"/>
      <w:pPr>
        <w:tabs>
          <w:tab w:val="num" w:pos="432"/>
        </w:tabs>
        <w:ind w:start="432" w:hanging="432"/>
      </w:pPr>
      <w:rPr>
        <w:rFonts w:ascii="Symbol" w:hAnsi="Symbol" w:cs="Symbol" w:hint="default"/>
        <w:color w:val="000000"/>
      </w:rPr>
    </w:lvl>
  </w:abstractNum>
  <w:abstractNum w:abstractNumId="4">
    <w:lvl w:ilvl="0">
      <w:start w:val="1"/>
      <w:numFmt w:val="bullet"/>
      <w:lvlText w:val=""/>
      <w:lvlJc w:val="start"/>
      <w:pPr>
        <w:tabs>
          <w:tab w:val="num" w:pos="432"/>
        </w:tabs>
        <w:ind w:start="432" w:hanging="432"/>
      </w:pPr>
      <w:rPr>
        <w:rFonts w:ascii="Symbol" w:hAnsi="Symbol" w:cs="Symbol" w:hint="default"/>
        <w:color w:val="000000"/>
      </w:rPr>
    </w:lvl>
  </w:abstractNum>
  <w:abstractNum w:abstractNumId="5">
    <w:lvl w:ilvl="0">
      <w:start w:val="1"/>
      <w:numFmt w:val="bullet"/>
      <w:lvlText w:val=""/>
      <w:lvlJc w:val="start"/>
      <w:pPr>
        <w:tabs>
          <w:tab w:val="num" w:pos="432"/>
        </w:tabs>
        <w:ind w:start="432" w:hanging="432"/>
      </w:pPr>
      <w:rPr>
        <w:rFonts w:ascii="Symbol" w:hAnsi="Symbol" w:cs="Symbol" w:hint="default"/>
        <w:color w:val="000000"/>
      </w:rPr>
    </w:lvl>
  </w:abstractNum>
  <w:abstractNum w:abstractNumId="6">
    <w:lvl w:ilvl="0">
      <w:start w:val="1"/>
      <w:numFmt w:val="bullet"/>
      <w:lvlText w:val=""/>
      <w:lvlJc w:val="start"/>
      <w:pPr>
        <w:tabs>
          <w:tab w:val="num" w:pos="432"/>
        </w:tabs>
        <w:ind w:start="432" w:hanging="432"/>
      </w:pPr>
      <w:rPr>
        <w:rFonts w:ascii="Symbol" w:hAnsi="Symbol" w:cs="Symbol" w:hint="default"/>
        <w:color w:val="000000"/>
      </w:rPr>
    </w:lvl>
  </w:abstractNum>
  <w:abstractNum w:abstractNumId="7">
    <w:lvl w:ilvl="0">
      <w:start w:val="1"/>
      <w:numFmt w:val="bullet"/>
      <w:lvlText w:val=""/>
      <w:lvlJc w:val="start"/>
      <w:pPr>
        <w:tabs>
          <w:tab w:val="num" w:pos="432"/>
        </w:tabs>
        <w:ind w:start="432" w:hanging="432"/>
      </w:pPr>
      <w:rPr>
        <w:rFonts w:ascii="Symbol" w:hAnsi="Symbol" w:cs="Symbol" w:hint="default"/>
        <w:color w:val="000000"/>
      </w:rPr>
    </w:lvl>
  </w:abstractNum>
  <w:abstractNum w:abstractNumId="8">
    <w:lvl w:ilvl="0">
      <w:start w:val="1"/>
      <w:numFmt w:val="bullet"/>
      <w:lvlText w:val=""/>
      <w:lvlJc w:val="start"/>
      <w:pPr>
        <w:tabs>
          <w:tab w:val="num" w:pos="432"/>
        </w:tabs>
        <w:ind w:start="432" w:hanging="432"/>
      </w:pPr>
      <w:rPr>
        <w:rFonts w:ascii="Symbol" w:hAnsi="Symbol" w:cs="Symbol" w:hint="default"/>
        <w:color w:val="000000"/>
      </w:rPr>
    </w:lvl>
  </w:abstractNum>
  <w:abstractNum w:abstractNumId="9">
    <w:lvl w:ilvl="0">
      <w:start w:val="1"/>
      <w:numFmt w:val="bullet"/>
      <w:lvlText w:val=""/>
      <w:lvlJc w:val="start"/>
      <w:pPr>
        <w:tabs>
          <w:tab w:val="num" w:pos="432"/>
        </w:tabs>
        <w:ind w:start="432" w:hanging="432"/>
      </w:pPr>
      <w:rPr>
        <w:rFonts w:ascii="Symbol" w:hAnsi="Symbol" w:cs="Symbol" w:hint="default"/>
        <w:color w:val="000000"/>
      </w:rPr>
    </w:lvl>
  </w:abstractNum>
  <w:abstractNum w:abstractNumId="10">
    <w:lvl w:ilvl="0">
      <w:start w:val="1"/>
      <w:numFmt w:val="bullet"/>
      <w:lvlText w:val=""/>
      <w:lvlJc w:val="start"/>
      <w:pPr>
        <w:tabs>
          <w:tab w:val="num" w:pos="360"/>
        </w:tabs>
        <w:ind w:start="360" w:hanging="360"/>
      </w:pPr>
      <w:rPr>
        <w:rFonts w:ascii="Symbol" w:hAnsi="Symbol" w:cs="Symbol" w:hint="default"/>
      </w:rPr>
    </w:lvl>
    <w:lvl w:ilvl="1">
      <w:start w:val="1"/>
      <w:numFmt w:val="bullet"/>
      <w:lvlText w:val="o"/>
      <w:lvlJc w:val="start"/>
      <w:pPr>
        <w:tabs>
          <w:tab w:val="num" w:pos="1080"/>
        </w:tabs>
        <w:ind w:start="1080" w:hanging="360"/>
      </w:pPr>
      <w:rPr>
        <w:rFonts w:ascii="Courier New" w:hAnsi="Courier New" w:cs="Courier New" w:hint="default"/>
      </w:rPr>
    </w:lvl>
    <w:lvl w:ilvl="2">
      <w:start w:val="1"/>
      <w:numFmt w:val="bullet"/>
      <w:lvlText w:val=""/>
      <w:lvlJc w:val="start"/>
      <w:pPr>
        <w:tabs>
          <w:tab w:val="num" w:pos="1800"/>
        </w:tabs>
        <w:ind w:start="1800" w:hanging="360"/>
      </w:pPr>
      <w:rPr>
        <w:rFonts w:ascii="Symbol" w:hAnsi="Symbol" w:cs="Symbol" w:hint="default"/>
      </w:rPr>
    </w:lvl>
    <w:lvl w:ilvl="3">
      <w:start w:val="1"/>
      <w:numFmt w:val="bullet"/>
      <w:lvlText w:val=""/>
      <w:lvlJc w:val="start"/>
      <w:pPr>
        <w:tabs>
          <w:tab w:val="num" w:pos="2520"/>
        </w:tabs>
        <w:ind w:start="2520" w:hanging="360"/>
      </w:pPr>
      <w:rPr>
        <w:rFonts w:ascii="Symbol" w:hAnsi="Symbol" w:cs="Symbol" w:hint="default"/>
      </w:rPr>
    </w:lvl>
    <w:lvl w:ilvl="4">
      <w:start w:val="1"/>
      <w:numFmt w:val="bullet"/>
      <w:lvlText w:val="o"/>
      <w:lvlJc w:val="start"/>
      <w:pPr>
        <w:tabs>
          <w:tab w:val="num" w:pos="3240"/>
        </w:tabs>
        <w:ind w:start="3240" w:hanging="360"/>
      </w:pPr>
      <w:rPr>
        <w:rFonts w:ascii="Courier New" w:hAnsi="Courier New" w:cs="Courier New" w:hint="default"/>
      </w:rPr>
    </w:lvl>
    <w:lvl w:ilvl="5">
      <w:start w:val="1"/>
      <w:numFmt w:val="bullet"/>
      <w:lvlText w:val=""/>
      <w:lvlJc w:val="start"/>
      <w:pPr>
        <w:tabs>
          <w:tab w:val="num" w:pos="3960"/>
        </w:tabs>
        <w:ind w:start="3960" w:hanging="360"/>
      </w:pPr>
      <w:rPr>
        <w:rFonts w:ascii="Wingdings" w:hAnsi="Wingdings" w:cs="Wingdings" w:hint="default"/>
      </w:rPr>
    </w:lvl>
    <w:lvl w:ilvl="6">
      <w:start w:val="1"/>
      <w:numFmt w:val="bullet"/>
      <w:lvlText w:val=""/>
      <w:lvlJc w:val="start"/>
      <w:pPr>
        <w:tabs>
          <w:tab w:val="num" w:pos="4680"/>
        </w:tabs>
        <w:ind w:start="4680" w:hanging="360"/>
      </w:pPr>
      <w:rPr>
        <w:rFonts w:ascii="Symbol" w:hAnsi="Symbol" w:cs="Symbol" w:hint="default"/>
      </w:rPr>
    </w:lvl>
    <w:lvl w:ilvl="7">
      <w:start w:val="1"/>
      <w:numFmt w:val="bullet"/>
      <w:lvlText w:val="o"/>
      <w:lvlJc w:val="start"/>
      <w:pPr>
        <w:tabs>
          <w:tab w:val="num" w:pos="5400"/>
        </w:tabs>
        <w:ind w:start="5400" w:hanging="360"/>
      </w:pPr>
      <w:rPr>
        <w:rFonts w:ascii="Courier New" w:hAnsi="Courier New" w:cs="Courier New" w:hint="default"/>
      </w:rPr>
    </w:lvl>
    <w:lvl w:ilvl="8">
      <w:start w:val="1"/>
      <w:numFmt w:val="bullet"/>
      <w:lvlText w:val=""/>
      <w:lvlJc w:val="start"/>
      <w:pPr>
        <w:tabs>
          <w:tab w:val="num" w:pos="6120"/>
        </w:tabs>
        <w:ind w:start="6120" w:hanging="360"/>
      </w:pPr>
      <w:rPr>
        <w:rFonts w:ascii="Wingdings" w:hAnsi="Wingdings" w:cs="Wingdings" w:hint="default"/>
      </w:rPr>
    </w:lvl>
  </w:abstractNum>
  <w:abstractNum w:abstractNumId="11">
    <w:lvl w:ilvl="0">
      <w:start w:val="1"/>
      <w:numFmt w:val="bullet"/>
      <w:lvlText w:val=""/>
      <w:lvlJc w:val="start"/>
      <w:pPr>
        <w:tabs>
          <w:tab w:val="num" w:pos="432"/>
        </w:tabs>
        <w:ind w:start="432" w:hanging="432"/>
      </w:pPr>
      <w:rPr>
        <w:rFonts w:ascii="Symbol" w:hAnsi="Symbol" w:cs="Symbol" w:hint="default"/>
        <w:color w:val="00000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b/>
      <w:bCs/>
    </w:rPr>
  </w:style>
  <w:style w:type="character" w:styleId="WW8Num1z0">
    <w:name w:val="WW8Num1z0"/>
    <w:qFormat/>
    <w:rPr>
      <w:rFonts w:ascii="Symbol" w:hAnsi="Symbol" w:cs="Symbol"/>
      <w:color w:val="000000"/>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Symbol" w:hAnsi="Symbol" w:cs="Symbol"/>
      <w:color w:val="000000"/>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Symbol" w:hAnsi="Symbol" w:cs="Symbol"/>
      <w:color w:val="000000"/>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Symbol" w:hAnsi="Symbol" w:cs="Symbol"/>
      <w:color w:val="000000"/>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Symbol" w:hAnsi="Symbol" w:cs="Symbol"/>
      <w:color w:val="000000"/>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rFonts w:ascii="Symbol" w:hAnsi="Symbol" w:cs="Symbol"/>
      <w:color w:val="000000"/>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rFonts w:ascii="Symbol" w:hAnsi="Symbol" w:cs="Symbol"/>
      <w:color w:val="000000"/>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rFonts w:ascii="Symbol" w:hAnsi="Symbol" w:cs="Symbol"/>
      <w:color w:val="000000"/>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rFonts w:ascii="Symbol" w:hAnsi="Symbol" w:cs="Symbol"/>
      <w:color w:val="000000"/>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0z0">
    <w:name w:val="WW8Num10z0"/>
    <w:qFormat/>
    <w:rPr>
      <w:rFonts w:ascii="Symbol" w:hAnsi="Symbol" w:cs="Symbol"/>
      <w:color w:val="000000"/>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0z3">
    <w:name w:val="WW8Num10z3"/>
    <w:qFormat/>
    <w:rPr>
      <w:rFonts w:ascii="Symbol" w:hAnsi="Symbol" w:cs="Symbol"/>
    </w:rPr>
  </w:style>
  <w:style w:type="character" w:styleId="WW8Num11z0">
    <w:name w:val="WW8Num11z0"/>
    <w:qFormat/>
    <w:rPr>
      <w:rFonts w:ascii="Symbol" w:hAnsi="Symbol" w:cs="Symbol"/>
      <w:color w:val="000000"/>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1z3">
    <w:name w:val="WW8Num11z3"/>
    <w:qFormat/>
    <w:rPr>
      <w:rFonts w:ascii="Symbol" w:hAnsi="Symbol" w:cs="Symbol"/>
    </w:rPr>
  </w:style>
  <w:style w:type="character" w:styleId="WW8Num12z0">
    <w:name w:val="WW8Num12z0"/>
    <w:qFormat/>
    <w:rPr>
      <w:rFonts w:ascii="Symbol" w:hAnsi="Symbol" w:cs="Symbol"/>
      <w:color w:val="000000"/>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3z0">
    <w:name w:val="WW8Num13z0"/>
    <w:qFormat/>
    <w:rPr>
      <w:rFonts w:ascii="Symbol" w:hAnsi="Symbol" w:cs="Symbol"/>
      <w:color w:val="000000"/>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3z3">
    <w:name w:val="WW8Num13z3"/>
    <w:qFormat/>
    <w:rPr>
      <w:rFonts w:ascii="Symbol" w:hAnsi="Symbol" w:cs="Symbol"/>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5">
    <w:name w:val="WW8Num14z5"/>
    <w:qFormat/>
    <w:rPr>
      <w:rFonts w:ascii="Wingdings" w:hAnsi="Wingdings" w:cs="Wingdings"/>
    </w:rPr>
  </w:style>
  <w:style w:type="character" w:styleId="WW8Num15z0">
    <w:name w:val="WW8Num15z0"/>
    <w:qFormat/>
    <w:rPr>
      <w:rFonts w:ascii="Symbol" w:hAnsi="Symbol" w:cs="Symbol"/>
      <w:color w:val="000000"/>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5z3">
    <w:name w:val="WW8Num15z3"/>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autoSpaceDE w:val="false"/>
    </w:pPr>
    <w:rPr>
      <w:rFonts w:ascii="Arial" w:hAnsi="Arial" w:cs="Arial"/>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360" w:end="0"/>
    </w:pPr>
    <w:rPr/>
  </w:style>
  <w:style w:type="paragraph" w:styleId="BodyText2">
    <w:name w:val="Body Text 2"/>
    <w:basedOn w:val="Normal"/>
    <w:qFormat/>
    <w:pPr>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2001-11-20T20:41:00Z</dcterms:created>
  <dc:creator>mmcvick</dc:creator>
  <dc:description/>
  <dc:language>en-CA</dc:language>
  <cp:lastModifiedBy>mmcvick</cp:lastModifiedBy>
  <cp:lastPrinted>2001-11-20T18:10:00Z</cp:lastPrinted>
  <dcterms:modified xsi:type="dcterms:W3CDTF">2001-11-20T21:40:00Z</dcterms:modified>
  <cp:revision>6</cp:revision>
  <dc:subject/>
  <dc:title>MESSAGE POINT FROM MEETING</dc:title>
</cp:coreProperties>
</file>