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embeddings/oleObject1.bin" ContentType="application/vnd.openxmlformats-officedocument.oleObject"/>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media/image1.emf" ContentType="image/x-emf"/>
  <Override PartName="/word/header4.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PUBLIC UTILITIES COMMISSION</w:t>
      </w:r>
    </w:p>
    <w:p>
      <w:pPr>
        <w:pStyle w:val="Heading2"/>
        <w:ind w:hanging="0" w:start="0"/>
        <w:rPr/>
      </w:pPr>
      <w:r>
        <w:rPr/>
        <w:t>OF THE STATE OF CALIFORNIA</w:t>
      </w:r>
    </w:p>
    <w:p>
      <w:pPr>
        <w:pStyle w:val="Normal"/>
        <w:widowControl w:val="false"/>
        <w:autoSpaceDE w:val="false"/>
        <w:rPr/>
      </w:pPr>
      <w:r>
        <w:rPr/>
      </w:r>
    </w:p>
    <w:p>
      <w:pPr>
        <w:pStyle w:val="Normal"/>
        <w:widowControl w:val="false"/>
        <w:autoSpaceDE w:val="false"/>
        <w:rPr/>
      </w:pPr>
      <w:r>
        <w:rPr/>
      </w:r>
    </w:p>
    <w:tbl>
      <w:tblPr>
        <w:tblW w:w="8856" w:type="dxa"/>
        <w:jc w:val="start"/>
        <w:tblInd w:w="0" w:type="dxa"/>
        <w:tblLayout w:type="fixed"/>
        <w:tblCellMar>
          <w:top w:w="0" w:type="dxa"/>
          <w:start w:w="108" w:type="dxa"/>
          <w:bottom w:w="0" w:type="dxa"/>
          <w:end w:w="108" w:type="dxa"/>
        </w:tblCellMar>
      </w:tblPr>
      <w:tblGrid>
        <w:gridCol w:w="4698"/>
        <w:gridCol w:w="4158"/>
      </w:tblGrid>
      <w:tr>
        <w:trPr/>
        <w:tc>
          <w:tcPr>
            <w:tcW w:w="4698" w:type="dxa"/>
            <w:tcBorders>
              <w:top w:val="single" w:sz="4" w:space="0" w:color="000000"/>
              <w:bottom w:val="single" w:sz="4" w:space="0" w:color="000000"/>
              <w:end w:val="single" w:sz="4" w:space="0" w:color="000000"/>
            </w:tcBorders>
          </w:tcPr>
          <w:p>
            <w:pPr>
              <w:pStyle w:val="Normal"/>
              <w:widowControl w:val="false"/>
              <w:autoSpaceDE w:val="false"/>
              <w:rPr/>
            </w:pPr>
            <w:r>
              <w:rPr/>
              <w:t xml:space="preserve">Application of the Cogeneration Association of California and the Energy Producers and Users Coalition for Relief Pursuant to Public Utilities Code </w:t>
            </w:r>
            <w:r>
              <w:rPr>
                <w:rFonts w:cs="Arial"/>
              </w:rPr>
              <w:t>§372(f)</w:t>
            </w:r>
          </w:p>
        </w:tc>
        <w:tc>
          <w:tcPr>
            <w:tcW w:w="4158" w:type="dxa"/>
            <w:tcBorders>
              <w:start w:val="single" w:sz="4" w:space="0" w:color="000000"/>
            </w:tcBorders>
          </w:tcPr>
          <w:p>
            <w:pPr>
              <w:pStyle w:val="Normal"/>
              <w:widowControl w:val="false"/>
              <w:autoSpaceDE w:val="false"/>
              <w:snapToGrid w:val="false"/>
              <w:rPr/>
            </w:pPr>
            <w:r>
              <w:rPr/>
            </w:r>
          </w:p>
          <w:p>
            <w:pPr>
              <w:pStyle w:val="Normal"/>
              <w:widowControl w:val="false"/>
              <w:autoSpaceDE w:val="false"/>
              <w:rPr/>
            </w:pPr>
            <w:r>
              <w:rPr/>
              <w:t>Docket A.00-11-</w:t>
            </w:r>
          </w:p>
        </w:tc>
      </w:tr>
    </w:tbl>
    <w:p>
      <w:pPr>
        <w:pStyle w:val="Normal"/>
        <w:widowControl w:val="false"/>
        <w:autoSpaceDE w:val="false"/>
        <w:rPr/>
      </w:pPr>
      <w:r>
        <w:rPr/>
      </w:r>
    </w:p>
    <w:p>
      <w:pPr>
        <w:pStyle w:val="Normal"/>
        <w:widowControl w:val="false"/>
        <w:autoSpaceDE w:val="false"/>
        <w:jc w:val="center"/>
        <w:rPr/>
      </w:pPr>
      <w:r>
        <w:rPr/>
      </w:r>
    </w:p>
    <w:p>
      <w:pPr>
        <w:pStyle w:val="Normal"/>
        <w:widowControl w:val="false"/>
        <w:autoSpaceDE w:val="false"/>
        <w:jc w:val="center"/>
        <w:rPr/>
      </w:pPr>
      <w:r>
        <w:rPr/>
      </w:r>
    </w:p>
    <w:p>
      <w:pPr>
        <w:pStyle w:val="Normal"/>
        <w:widowControl w:val="false"/>
        <w:autoSpaceDE w:val="false"/>
        <w:jc w:val="center"/>
        <w:rPr/>
      </w:pPr>
      <w:r>
        <w:rPr/>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jc w:val="center"/>
        <w:rPr>
          <w:b/>
        </w:rPr>
      </w:pPr>
      <w:r>
        <w:rPr>
          <w:b/>
        </w:rPr>
        <w:t>APPLICATION OF THE COGENERATION ASSOCIATION OF CALIFORNIA AND THE ENERGY PRODUCERS AND USERS COALITION</w:t>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jc w:val="center"/>
        <w:rPr>
          <w:b/>
        </w:rPr>
      </w:pPr>
      <w:r>
        <w:rPr>
          <w:b/>
        </w:rPr>
        <w:t>FOR RELIEF PURSUANT TO PUBLIC UTILITIES CODE SECTION 372(f)</w:t>
      </w:r>
    </w:p>
    <w:p>
      <w:pPr>
        <w:pStyle w:val="BlockText"/>
        <w:ind w:start="0" w:end="1440"/>
        <w:rPr>
          <w:b/>
        </w:rPr>
      </w:pPr>
      <w:r>
        <w:rPr>
          <w:b/>
        </w:rPr>
      </w:r>
    </w:p>
    <w:p>
      <w:pPr>
        <w:pStyle w:val="Heading"/>
        <w:jc w:val="start"/>
        <w:rPr>
          <w:b w:val="false"/>
        </w:rPr>
      </w:pPr>
      <w:r>
        <w:rPr>
          <w:b w:val="false"/>
        </w:rPr>
      </w:r>
    </w:p>
    <w:p>
      <w:pPr>
        <w:pStyle w:val="Heading"/>
        <w:jc w:val="both"/>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
              <w:jc w:val="start"/>
              <w:rPr>
                <w:b w:val="false"/>
                <w:bCs/>
              </w:rPr>
            </w:pPr>
            <w:r>
              <w:rPr>
                <w:b w:val="false"/>
                <w:bCs/>
              </w:rPr>
              <w:t>Michael Alcantar</w:t>
            </w:r>
          </w:p>
          <w:p>
            <w:pPr>
              <w:pStyle w:val="Heading"/>
              <w:jc w:val="start"/>
              <w:rPr>
                <w:b w:val="false"/>
                <w:bCs/>
              </w:rPr>
            </w:pPr>
            <w:r>
              <w:rPr>
                <w:b w:val="false"/>
                <w:bCs/>
              </w:rPr>
              <w:t>Alcantar &amp; Elsesser</w:t>
            </w:r>
          </w:p>
          <w:p>
            <w:pPr>
              <w:pStyle w:val="Heading"/>
              <w:jc w:val="start"/>
              <w:rPr>
                <w:b w:val="false"/>
                <w:bCs/>
              </w:rPr>
            </w:pPr>
            <w:r>
              <w:rPr>
                <w:b w:val="false"/>
                <w:bCs/>
              </w:rPr>
              <w:t>1300 SW Fifth Suite 1750</w:t>
            </w:r>
          </w:p>
          <w:p>
            <w:pPr>
              <w:pStyle w:val="Heading"/>
              <w:jc w:val="start"/>
              <w:rPr>
                <w:b w:val="false"/>
                <w:bCs/>
              </w:rPr>
            </w:pPr>
            <w:r>
              <w:rPr>
                <w:b w:val="false"/>
                <w:bCs/>
              </w:rPr>
              <w:t>Portland OR  97201</w:t>
            </w:r>
          </w:p>
          <w:p>
            <w:pPr>
              <w:pStyle w:val="Heading"/>
              <w:jc w:val="start"/>
              <w:rPr>
                <w:b w:val="false"/>
                <w:bCs/>
              </w:rPr>
            </w:pPr>
            <w:r>
              <w:rPr>
                <w:b w:val="false"/>
                <w:bCs/>
              </w:rPr>
              <w:t>503.402.8700 phone</w:t>
            </w:r>
          </w:p>
          <w:p>
            <w:pPr>
              <w:pStyle w:val="Heading"/>
              <w:jc w:val="start"/>
              <w:rPr>
                <w:b w:val="false"/>
                <w:bCs/>
              </w:rPr>
            </w:pPr>
            <w:r>
              <w:rPr>
                <w:b w:val="false"/>
                <w:bCs/>
              </w:rPr>
              <w:t>503.402.8882 fax</w:t>
            </w:r>
          </w:p>
          <w:p>
            <w:pPr>
              <w:pStyle w:val="Heading"/>
              <w:jc w:val="start"/>
              <w:rPr>
                <w:b w:val="false"/>
                <w:bCs/>
              </w:rPr>
            </w:pPr>
            <w:hyperlink r:id="rId2">
              <w:r>
                <w:rPr>
                  <w:rStyle w:val="Hyperlink"/>
                  <w:bCs/>
                </w:rPr>
                <w:t>mpa@aelaw.com</w:t>
              </w:r>
            </w:hyperlink>
          </w:p>
          <w:p>
            <w:pPr>
              <w:pStyle w:val="Heading"/>
              <w:jc w:val="start"/>
              <w:rPr>
                <w:b w:val="false"/>
                <w:bCs/>
              </w:rPr>
            </w:pPr>
            <w:r>
              <w:rPr>
                <w:b w:val="false"/>
                <w:bCs/>
              </w:rPr>
            </w:r>
          </w:p>
          <w:p>
            <w:pPr>
              <w:pStyle w:val="Heading"/>
              <w:jc w:val="start"/>
              <w:rPr>
                <w:b w:val="false"/>
                <w:bCs/>
              </w:rPr>
            </w:pPr>
            <w:r>
              <w:rPr>
                <w:b w:val="false"/>
                <w:bCs/>
              </w:rPr>
            </w:r>
          </w:p>
          <w:p>
            <w:pPr>
              <w:pStyle w:val="Heading"/>
              <w:jc w:val="start"/>
              <w:rPr>
                <w:b w:val="false"/>
                <w:bCs/>
              </w:rPr>
            </w:pPr>
            <w:r>
              <w:rPr>
                <w:b w:val="false"/>
                <w:bCs/>
              </w:rPr>
              <w:t>Counsel to the Cogeneration Association of California</w:t>
            </w:r>
          </w:p>
        </w:tc>
        <w:tc>
          <w:tcPr>
            <w:tcW w:w="4428" w:type="dxa"/>
            <w:tcBorders/>
          </w:tcPr>
          <w:p>
            <w:pPr>
              <w:pStyle w:val="Heading"/>
              <w:jc w:val="start"/>
              <w:rPr>
                <w:b w:val="false"/>
                <w:bCs/>
              </w:rPr>
            </w:pPr>
            <w:r>
              <w:rPr>
                <w:b w:val="false"/>
                <w:bCs/>
              </w:rPr>
              <w:t>Evelyn Kahl Elsesser</w:t>
            </w:r>
          </w:p>
          <w:p>
            <w:pPr>
              <w:pStyle w:val="Heading"/>
              <w:jc w:val="start"/>
              <w:rPr>
                <w:b w:val="false"/>
                <w:bCs/>
              </w:rPr>
            </w:pPr>
            <w:r>
              <w:rPr>
                <w:b w:val="false"/>
                <w:bCs/>
              </w:rPr>
              <w:t>Alcantar &amp; Elsesser</w:t>
            </w:r>
          </w:p>
          <w:p>
            <w:pPr>
              <w:pStyle w:val="Heading"/>
              <w:jc w:val="start"/>
              <w:rPr>
                <w:b w:val="false"/>
                <w:bCs/>
              </w:rPr>
            </w:pPr>
            <w:r>
              <w:rPr>
                <w:b w:val="false"/>
                <w:bCs/>
              </w:rPr>
              <w:t>One Embarcadero Center Suite 2420</w:t>
            </w:r>
          </w:p>
          <w:p>
            <w:pPr>
              <w:pStyle w:val="Heading"/>
              <w:jc w:val="start"/>
              <w:rPr>
                <w:b w:val="false"/>
                <w:bCs/>
              </w:rPr>
            </w:pPr>
            <w:r>
              <w:rPr>
                <w:b w:val="false"/>
                <w:bCs/>
              </w:rPr>
              <w:t>San Francisco CA  94111</w:t>
            </w:r>
          </w:p>
          <w:p>
            <w:pPr>
              <w:pStyle w:val="Heading"/>
              <w:jc w:val="start"/>
              <w:rPr>
                <w:b w:val="false"/>
                <w:bCs/>
              </w:rPr>
            </w:pPr>
            <w:r>
              <w:rPr>
                <w:b w:val="false"/>
                <w:bCs/>
              </w:rPr>
              <w:t>415.421.4143</w:t>
            </w:r>
          </w:p>
          <w:p>
            <w:pPr>
              <w:pStyle w:val="Heading"/>
              <w:jc w:val="start"/>
              <w:rPr>
                <w:b w:val="false"/>
                <w:bCs/>
              </w:rPr>
            </w:pPr>
            <w:r>
              <w:rPr>
                <w:b w:val="false"/>
                <w:bCs/>
              </w:rPr>
              <w:t>415.989-1263</w:t>
            </w:r>
          </w:p>
          <w:p>
            <w:pPr>
              <w:pStyle w:val="Heading"/>
              <w:jc w:val="start"/>
              <w:rPr>
                <w:b w:val="false"/>
                <w:bCs/>
              </w:rPr>
            </w:pPr>
            <w:hyperlink r:id="rId3">
              <w:r>
                <w:rPr>
                  <w:rStyle w:val="Hyperlink"/>
                  <w:bCs/>
                </w:rPr>
                <w:t>eke@aelaw.com</w:t>
              </w:r>
            </w:hyperlink>
          </w:p>
          <w:p>
            <w:pPr>
              <w:pStyle w:val="Heading"/>
              <w:jc w:val="start"/>
              <w:rPr>
                <w:b w:val="false"/>
                <w:bCs/>
              </w:rPr>
            </w:pPr>
            <w:r>
              <w:rPr>
                <w:b w:val="false"/>
                <w:bCs/>
              </w:rPr>
            </w:r>
          </w:p>
          <w:p>
            <w:pPr>
              <w:pStyle w:val="Heading"/>
              <w:jc w:val="start"/>
              <w:rPr>
                <w:b w:val="false"/>
                <w:bCs/>
              </w:rPr>
            </w:pPr>
            <w:r>
              <w:rPr>
                <w:b w:val="false"/>
                <w:bCs/>
              </w:rPr>
            </w:r>
          </w:p>
          <w:p>
            <w:pPr>
              <w:pStyle w:val="Heading"/>
              <w:jc w:val="start"/>
              <w:rPr>
                <w:b w:val="false"/>
                <w:bCs/>
              </w:rPr>
            </w:pPr>
            <w:r>
              <w:rPr>
                <w:b w:val="false"/>
                <w:bCs/>
              </w:rPr>
              <w:t>Counsel to the Energy Producers and Users and Coalition</w:t>
            </w:r>
          </w:p>
        </w:tc>
      </w:tr>
    </w:tbl>
    <w:p>
      <w:pPr>
        <w:pStyle w:val="Heading"/>
        <w:jc w:val="start"/>
        <w:rPr/>
      </w:pPr>
      <w:r>
        <w:rPr/>
      </w:r>
    </w:p>
    <w:p>
      <w:pPr>
        <w:pStyle w:val="Heading"/>
        <w:jc w:val="start"/>
        <w:rPr/>
      </w:pPr>
      <w:r>
        <w:rPr/>
      </w:r>
    </w:p>
    <w:p>
      <w:pPr>
        <w:pStyle w:val="Heading"/>
        <w:jc w:val="start"/>
        <w:rPr/>
      </w:pPr>
      <w:r>
        <w:rPr/>
      </w:r>
    </w:p>
    <w:p>
      <w:pPr>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pStyle w:val="Heading"/>
        <w:jc w:val="start"/>
        <w:rPr>
          <w:b w:val="false"/>
          <w:bCs/>
        </w:rPr>
      </w:pPr>
      <w:r>
        <w:rPr>
          <w:b w:val="false"/>
          <w:bCs/>
        </w:rPr>
        <w:t>November 20, 2000</w:t>
      </w:r>
    </w:p>
    <w:p>
      <w:pPr>
        <w:pStyle w:val="Heading"/>
        <w:rPr/>
      </w:pPr>
      <w:r>
        <w:rPr/>
        <w:t>TABLE OF CONTENTS</w:t>
      </w:r>
    </w:p>
    <w:p>
      <w:pPr>
        <w:pStyle w:val="Heading"/>
        <w:jc w:val="start"/>
        <w:rPr/>
      </w:pPr>
      <w:r>
        <w:rPr/>
      </w:r>
    </w:p>
    <w:p>
      <w:pPr>
        <w:pStyle w:val="Heading"/>
        <w:jc w:val="start"/>
        <w:rPr/>
      </w:pPr>
      <w:r>
        <w:rPr/>
      </w:r>
    </w:p>
    <w:p>
      <w:pPr>
        <w:pStyle w:val="Heading"/>
        <w:jc w:val="start"/>
        <w:rPr/>
      </w:pPr>
      <w:r>
        <w:rPr/>
      </w:r>
    </w:p>
    <w:p>
      <w:pPr>
        <w:pStyle w:val="Heading"/>
        <w:tabs>
          <w:tab w:val="left" w:pos="720" w:leader="none"/>
          <w:tab w:val="left" w:pos="1080" w:leader="none"/>
          <w:tab w:val="left" w:pos="8100" w:leader="none"/>
        </w:tabs>
        <w:jc w:val="start"/>
        <w:rPr>
          <w:b w:val="false"/>
          <w:bCs/>
        </w:rPr>
      </w:pPr>
      <w:r>
        <w:rPr>
          <w:b w:val="false"/>
          <w:bCs/>
        </w:rPr>
        <w:t>I.</w:t>
        <w:tab/>
        <w:t>INTRODUCTION AND EXECUTIVE SUMMARY</w:t>
        <w:tab/>
        <w:t>1</w:t>
      </w:r>
    </w:p>
    <w:p>
      <w:pPr>
        <w:pStyle w:val="Heading"/>
        <w:tabs>
          <w:tab w:val="left" w:pos="720" w:leader="none"/>
          <w:tab w:val="left" w:pos="1080" w:leader="none"/>
          <w:tab w:val="left" w:pos="8100" w:leader="none"/>
        </w:tabs>
        <w:jc w:val="start"/>
        <w:rPr>
          <w:b w:val="false"/>
          <w:bCs/>
        </w:rPr>
      </w:pPr>
      <w:r>
        <w:rPr>
          <w:b w:val="false"/>
          <w:bCs/>
        </w:rPr>
        <w:t>II.</w:t>
        <w:tab/>
        <w:t>DISCUSSION</w:t>
        <w:tab/>
        <w:t>2</w:t>
      </w:r>
    </w:p>
    <w:p>
      <w:pPr>
        <w:pStyle w:val="Heading"/>
        <w:numPr>
          <w:ilvl w:val="0"/>
          <w:numId w:val="15"/>
        </w:numPr>
        <w:tabs>
          <w:tab w:val="left" w:pos="720" w:leader="none"/>
          <w:tab w:val="left" w:pos="2160" w:leader="none"/>
          <w:tab w:val="left" w:pos="8100" w:leader="none"/>
        </w:tabs>
        <w:jc w:val="start"/>
        <w:rPr>
          <w:b w:val="false"/>
          <w:bCs/>
        </w:rPr>
      </w:pPr>
      <w:r>
        <w:rPr>
          <w:b w:val="false"/>
          <w:bCs/>
        </w:rPr>
        <w:t>The Commission and the EOB Must Step in Where the ISO Has Failed</w:t>
        <w:tab/>
        <w:tab/>
        <w:t>2</w:t>
      </w:r>
    </w:p>
    <w:p>
      <w:pPr>
        <w:pStyle w:val="Heading"/>
        <w:numPr>
          <w:ilvl w:val="0"/>
          <w:numId w:val="15"/>
        </w:numPr>
        <w:tabs>
          <w:tab w:val="left" w:pos="720" w:leader="none"/>
          <w:tab w:val="left" w:pos="2160" w:leader="none"/>
          <w:tab w:val="left" w:pos="8100" w:leader="none"/>
        </w:tabs>
        <w:jc w:val="start"/>
        <w:rPr>
          <w:b w:val="false"/>
          <w:bCs/>
        </w:rPr>
      </w:pPr>
      <w:r>
        <w:rPr>
          <w:b w:val="false"/>
          <w:bCs/>
        </w:rPr>
        <w:t>The ISO May Not Ignore the Existing California Legislative and Commission Policy Directives that Encourage Self-generation and Cogeneration</w:t>
        <w:tab/>
        <w:t>4</w:t>
      </w:r>
    </w:p>
    <w:p>
      <w:pPr>
        <w:pStyle w:val="Heading"/>
        <w:numPr>
          <w:ilvl w:val="0"/>
          <w:numId w:val="15"/>
        </w:numPr>
        <w:tabs>
          <w:tab w:val="left" w:pos="720" w:leader="none"/>
          <w:tab w:val="left" w:pos="2160" w:leader="none"/>
          <w:tab w:val="left" w:pos="8100" w:leader="none"/>
        </w:tabs>
        <w:jc w:val="start"/>
        <w:rPr>
          <w:b w:val="false"/>
          <w:bCs/>
        </w:rPr>
      </w:pPr>
      <w:r>
        <w:rPr>
          <w:b w:val="false"/>
          <w:bCs/>
        </w:rPr>
        <w:t>California’s Historical Treatment of Retail Customer-Owned Generation Interconnection is Reasonable and Should Be Sustained</w:t>
        <w:tab/>
        <w:t>6</w:t>
      </w:r>
    </w:p>
    <w:p>
      <w:pPr>
        <w:pStyle w:val="Heading"/>
        <w:numPr>
          <w:ilvl w:val="0"/>
          <w:numId w:val="15"/>
        </w:numPr>
        <w:tabs>
          <w:tab w:val="left" w:pos="720" w:leader="none"/>
          <w:tab w:val="left" w:pos="2160" w:leader="none"/>
          <w:tab w:val="left" w:pos="8100" w:leader="none"/>
        </w:tabs>
        <w:jc w:val="start"/>
        <w:rPr>
          <w:b w:val="false"/>
          <w:bCs/>
        </w:rPr>
      </w:pPr>
      <w:r>
        <w:rPr>
          <w:b w:val="false"/>
          <w:bCs/>
        </w:rPr>
        <w:t>An Exemption of the Unreasonable Costs Imposed by the ISO Demonstrates that Retail Customer-Owned Generation Will Be Discouraged</w:t>
        <w:tab/>
        <w:t>11</w:t>
      </w:r>
    </w:p>
    <w:p>
      <w:pPr>
        <w:pStyle w:val="Heading"/>
        <w:numPr>
          <w:ilvl w:val="0"/>
          <w:numId w:val="15"/>
        </w:numPr>
        <w:tabs>
          <w:tab w:val="left" w:pos="720" w:leader="none"/>
          <w:tab w:val="left" w:pos="2160" w:leader="none"/>
          <w:tab w:val="left" w:pos="8100" w:leader="none"/>
        </w:tabs>
        <w:jc w:val="start"/>
        <w:rPr>
          <w:b w:val="false"/>
          <w:bCs/>
        </w:rPr>
      </w:pPr>
      <w:r>
        <w:rPr>
          <w:b w:val="false"/>
          <w:bCs/>
        </w:rPr>
        <w:t>The ISO’s Policies are Unreasonable Because They Are Discriminatory to Load Served by Retail Customer-Owned Generation</w:t>
        <w:tab/>
        <w:t>14</w:t>
      </w:r>
    </w:p>
    <w:p>
      <w:pPr>
        <w:pStyle w:val="Heading"/>
        <w:numPr>
          <w:ilvl w:val="0"/>
          <w:numId w:val="15"/>
        </w:numPr>
        <w:tabs>
          <w:tab w:val="left" w:pos="720" w:leader="none"/>
          <w:tab w:val="left" w:pos="2160" w:leader="none"/>
          <w:tab w:val="left" w:pos="8100" w:leader="none"/>
        </w:tabs>
        <w:jc w:val="start"/>
        <w:rPr>
          <w:b w:val="false"/>
          <w:bCs/>
        </w:rPr>
      </w:pPr>
      <w:r>
        <w:rPr>
          <w:b w:val="false"/>
          <w:bCs/>
        </w:rPr>
        <w:t>ISO Assertions to Justify These Flawed Policies are Fallacious and Misplaced</w:t>
        <w:tab/>
        <w:t>18</w:t>
      </w:r>
    </w:p>
    <w:p>
      <w:pPr>
        <w:pStyle w:val="Heading"/>
        <w:numPr>
          <w:ilvl w:val="0"/>
          <w:numId w:val="15"/>
        </w:numPr>
        <w:tabs>
          <w:tab w:val="left" w:pos="720" w:leader="none"/>
          <w:tab w:val="left" w:pos="2160" w:leader="none"/>
          <w:tab w:val="left" w:pos="8100" w:leader="none"/>
        </w:tabs>
        <w:jc w:val="start"/>
        <w:rPr>
          <w:b w:val="false"/>
          <w:bCs/>
        </w:rPr>
      </w:pPr>
      <w:r>
        <w:rPr>
          <w:b w:val="false"/>
          <w:bCs/>
        </w:rPr>
        <w:t>Specific Proceedings Evidence the ISO’s Actions to Unreasonably Discourage Retail Customer-Owned Generation in Contravention of California Policies</w:t>
        <w:tab/>
        <w:t>20</w:t>
      </w:r>
    </w:p>
    <w:p>
      <w:pPr>
        <w:pStyle w:val="Heading"/>
        <w:numPr>
          <w:ilvl w:val="3"/>
          <w:numId w:val="15"/>
        </w:numPr>
        <w:tabs>
          <w:tab w:val="left" w:pos="720" w:leader="none"/>
          <w:tab w:val="left" w:pos="2160" w:leader="none"/>
          <w:tab w:val="left" w:pos="2880" w:leader="none"/>
          <w:tab w:val="left" w:pos="8100" w:leader="none"/>
        </w:tabs>
        <w:jc w:val="start"/>
        <w:rPr>
          <w:b w:val="false"/>
          <w:bCs/>
        </w:rPr>
      </w:pPr>
      <w:r>
        <w:rPr>
          <w:b w:val="false"/>
          <w:bCs/>
        </w:rPr>
        <w:t>Distributed Generation Rulemaking</w:t>
        <w:tab/>
        <w:t>21</w:t>
      </w:r>
    </w:p>
    <w:p>
      <w:pPr>
        <w:pStyle w:val="Heading"/>
        <w:numPr>
          <w:ilvl w:val="3"/>
          <w:numId w:val="15"/>
        </w:numPr>
        <w:tabs>
          <w:tab w:val="left" w:pos="720" w:leader="none"/>
          <w:tab w:val="left" w:pos="2160" w:leader="none"/>
          <w:tab w:val="left" w:pos="2880" w:leader="none"/>
          <w:tab w:val="left" w:pos="8100" w:leader="none"/>
        </w:tabs>
        <w:jc w:val="start"/>
        <w:rPr>
          <w:b w:val="false"/>
          <w:bCs/>
        </w:rPr>
      </w:pPr>
      <w:r>
        <w:rPr>
          <w:b w:val="false"/>
          <w:bCs/>
        </w:rPr>
        <w:t>Transmission Access Charge Tariff</w:t>
        <w:tab/>
        <w:t>22</w:t>
      </w:r>
    </w:p>
    <w:p>
      <w:pPr>
        <w:pStyle w:val="Heading"/>
        <w:numPr>
          <w:ilvl w:val="3"/>
          <w:numId w:val="15"/>
        </w:numPr>
        <w:tabs>
          <w:tab w:val="left" w:pos="720" w:leader="none"/>
          <w:tab w:val="left" w:pos="2160" w:leader="none"/>
          <w:tab w:val="left" w:pos="2880" w:leader="none"/>
          <w:tab w:val="left" w:pos="8100" w:leader="none"/>
        </w:tabs>
        <w:jc w:val="start"/>
        <w:rPr>
          <w:b w:val="false"/>
          <w:bCs/>
        </w:rPr>
      </w:pPr>
      <w:r>
        <w:rPr>
          <w:b w:val="false"/>
          <w:bCs/>
        </w:rPr>
        <w:t xml:space="preserve">Grid Management Charge Tariff </w:t>
        <w:tab/>
        <w:t>24</w:t>
      </w:r>
    </w:p>
    <w:p>
      <w:pPr>
        <w:pStyle w:val="Heading"/>
        <w:numPr>
          <w:ilvl w:val="3"/>
          <w:numId w:val="15"/>
        </w:numPr>
        <w:tabs>
          <w:tab w:val="left" w:pos="720" w:leader="none"/>
          <w:tab w:val="left" w:pos="2160" w:leader="none"/>
          <w:tab w:val="left" w:pos="2880" w:leader="none"/>
          <w:tab w:val="left" w:pos="8100" w:leader="none"/>
        </w:tabs>
        <w:jc w:val="start"/>
        <w:rPr>
          <w:b w:val="false"/>
          <w:bCs/>
        </w:rPr>
      </w:pPr>
      <w:r>
        <w:rPr>
          <w:b w:val="false"/>
          <w:bCs/>
        </w:rPr>
        <w:t>Participating Generator Agreement Proceeding</w:t>
        <w:tab/>
        <w:t>25</w:t>
      </w:r>
    </w:p>
    <w:p>
      <w:pPr>
        <w:pStyle w:val="Heading"/>
        <w:numPr>
          <w:ilvl w:val="0"/>
          <w:numId w:val="15"/>
        </w:numPr>
        <w:tabs>
          <w:tab w:val="left" w:pos="720" w:leader="none"/>
          <w:tab w:val="left" w:pos="2160" w:leader="none"/>
          <w:tab w:val="left" w:pos="2880" w:leader="none"/>
          <w:tab w:val="left" w:pos="8100" w:leader="none"/>
        </w:tabs>
        <w:jc w:val="start"/>
        <w:rPr>
          <w:b w:val="false"/>
          <w:bCs/>
        </w:rPr>
      </w:pPr>
      <w:r>
        <w:rPr>
          <w:b w:val="false"/>
          <w:bCs/>
        </w:rPr>
        <w:t>The Commission and EOB Should Undertake Specific Remedial Actions Immediately</w:t>
        <w:tab/>
        <w:t>27</w:t>
      </w:r>
    </w:p>
    <w:p>
      <w:pPr>
        <w:pStyle w:val="Heading"/>
        <w:tabs>
          <w:tab w:val="left" w:pos="720" w:leader="none"/>
          <w:tab w:val="left" w:pos="1440" w:leader="none"/>
          <w:tab w:val="left" w:pos="2160" w:leader="none"/>
          <w:tab w:val="left" w:pos="2880" w:leader="none"/>
          <w:tab w:val="left" w:pos="8100" w:leader="none"/>
        </w:tabs>
        <w:jc w:val="start"/>
        <w:rPr>
          <w:b w:val="false"/>
          <w:bCs/>
        </w:rPr>
      </w:pPr>
      <w:r>
        <w:rPr>
          <w:b w:val="false"/>
          <w:bCs/>
        </w:rPr>
        <w:t>II.</w:t>
        <w:tab/>
        <w:t>PARTIES</w:t>
        <w:tab/>
        <w:tab/>
        <w:tab/>
        <w:t>28</w:t>
      </w:r>
    </w:p>
    <w:p>
      <w:pPr>
        <w:pStyle w:val="Heading"/>
        <w:tabs>
          <w:tab w:val="left" w:pos="720" w:leader="none"/>
          <w:tab w:val="left" w:pos="1440" w:leader="none"/>
          <w:tab w:val="left" w:pos="2160" w:leader="none"/>
          <w:tab w:val="left" w:pos="2880" w:leader="none"/>
          <w:tab w:val="left" w:pos="8100" w:leader="none"/>
        </w:tabs>
        <w:jc w:val="start"/>
        <w:rPr>
          <w:b w:val="false"/>
          <w:bCs/>
        </w:rPr>
      </w:pPr>
      <w:r>
        <w:rPr>
          <w:b w:val="false"/>
          <w:bCs/>
        </w:rPr>
        <w:t>III.</w:t>
        <w:tab/>
        <w:t>CONCLUSION</w:t>
        <w:tab/>
        <w:tab/>
        <w:t>29</w:t>
      </w:r>
    </w:p>
    <w:p>
      <w:pPr>
        <w:pStyle w:val="Heading"/>
        <w:tabs>
          <w:tab w:val="left" w:pos="720" w:leader="none"/>
          <w:tab w:val="left" w:pos="2160" w:leader="none"/>
          <w:tab w:val="left" w:pos="8100" w:leader="none"/>
        </w:tabs>
        <w:jc w:val="start"/>
        <w:rPr>
          <w:b w:val="false"/>
          <w:bCs/>
        </w:rPr>
      </w:pPr>
      <w:r>
        <w:rPr>
          <w:b w:val="false"/>
          <w:bCs/>
        </w:rPr>
      </w:r>
    </w:p>
    <w:p>
      <w:pPr>
        <w:pStyle w:val="Heading"/>
        <w:tabs>
          <w:tab w:val="clear" w:pos="720"/>
          <w:tab w:val="left" w:pos="8100" w:leader="none"/>
        </w:tabs>
        <w:jc w:val="start"/>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lowerRoman"/>
          <w:formProt w:val="false"/>
          <w:titlePg/>
          <w:textDirection w:val="lrTb"/>
          <w:docGrid w:type="default" w:linePitch="360" w:charSpace="0"/>
        </w:sectPr>
        <w:pStyle w:val="Heading"/>
        <w:jc w:val="start"/>
        <w:rPr/>
      </w:pPr>
      <w:r>
        <w:rPr/>
      </w:r>
    </w:p>
    <w:p>
      <w:pPr>
        <w:pStyle w:val="Heading"/>
        <w:numPr>
          <w:ilvl w:val="0"/>
          <w:numId w:val="0"/>
        </w:numPr>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Heading"/>
        <w:rPr/>
      </w:pPr>
      <w:r>
        <w:rPr/>
        <w:t>BEFORE THE PUBLIC UTILITIES COMMISSION</w:t>
      </w:r>
    </w:p>
    <w:p>
      <w:pPr>
        <w:pStyle w:val="Heading2"/>
        <w:ind w:hanging="0" w:start="0"/>
        <w:rPr/>
      </w:pPr>
      <w:r>
        <w:rPr/>
        <w:t>OF THE STATE OF CALIFORNIA</w:t>
      </w:r>
    </w:p>
    <w:p>
      <w:pPr>
        <w:pStyle w:val="Normal"/>
        <w:widowControl w:val="false"/>
        <w:autoSpaceDE w:val="false"/>
        <w:rPr/>
      </w:pPr>
      <w:r>
        <w:rPr/>
      </w:r>
    </w:p>
    <w:p>
      <w:pPr>
        <w:pStyle w:val="Normal"/>
        <w:widowControl w:val="false"/>
        <w:autoSpaceDE w:val="false"/>
        <w:rPr/>
      </w:pPr>
      <w:r>
        <w:rPr/>
      </w:r>
    </w:p>
    <w:tbl>
      <w:tblPr>
        <w:tblW w:w="8856" w:type="dxa"/>
        <w:jc w:val="start"/>
        <w:tblInd w:w="0" w:type="dxa"/>
        <w:tblLayout w:type="fixed"/>
        <w:tblCellMar>
          <w:top w:w="0" w:type="dxa"/>
          <w:start w:w="108" w:type="dxa"/>
          <w:bottom w:w="0" w:type="dxa"/>
          <w:end w:w="108" w:type="dxa"/>
        </w:tblCellMar>
      </w:tblPr>
      <w:tblGrid>
        <w:gridCol w:w="4698"/>
        <w:gridCol w:w="4158"/>
      </w:tblGrid>
      <w:tr>
        <w:trPr/>
        <w:tc>
          <w:tcPr>
            <w:tcW w:w="4698" w:type="dxa"/>
            <w:tcBorders>
              <w:top w:val="single" w:sz="4" w:space="0" w:color="000000"/>
              <w:bottom w:val="single" w:sz="4" w:space="0" w:color="000000"/>
              <w:end w:val="single" w:sz="4" w:space="0" w:color="000000"/>
            </w:tcBorders>
          </w:tcPr>
          <w:p>
            <w:pPr>
              <w:pStyle w:val="Normal"/>
              <w:widowControl w:val="false"/>
              <w:autoSpaceDE w:val="false"/>
              <w:rPr/>
            </w:pPr>
            <w:r>
              <w:rPr/>
              <w:t xml:space="preserve">Application of the Cogeneration Association of California and the Energy Producers and Users Coalition for Relief Pursuant to Public Utilities Code </w:t>
            </w:r>
            <w:r>
              <w:rPr>
                <w:rFonts w:cs="Arial"/>
              </w:rPr>
              <w:t>§372(f)</w:t>
            </w:r>
          </w:p>
        </w:tc>
        <w:tc>
          <w:tcPr>
            <w:tcW w:w="4158" w:type="dxa"/>
            <w:tcBorders>
              <w:start w:val="single" w:sz="4" w:space="0" w:color="000000"/>
            </w:tcBorders>
          </w:tcPr>
          <w:p>
            <w:pPr>
              <w:pStyle w:val="Normal"/>
              <w:widowControl w:val="false"/>
              <w:autoSpaceDE w:val="false"/>
              <w:snapToGrid w:val="false"/>
              <w:rPr/>
            </w:pPr>
            <w:r>
              <w:rPr/>
            </w:r>
          </w:p>
          <w:p>
            <w:pPr>
              <w:pStyle w:val="Normal"/>
              <w:widowControl w:val="false"/>
              <w:autoSpaceDE w:val="false"/>
              <w:rPr/>
            </w:pPr>
            <w:r>
              <w:rPr/>
              <w:t>Docket A.00-11-</w:t>
            </w:r>
          </w:p>
        </w:tc>
      </w:tr>
    </w:tbl>
    <w:p>
      <w:pPr>
        <w:pStyle w:val="Normal"/>
        <w:widowControl w:val="false"/>
        <w:autoSpaceDE w:val="false"/>
        <w:rPr/>
      </w:pPr>
      <w:r>
        <w:rPr/>
      </w:r>
    </w:p>
    <w:p>
      <w:pPr>
        <w:pStyle w:val="Normal"/>
        <w:widowControl w:val="false"/>
        <w:autoSpaceDE w:val="false"/>
        <w:jc w:val="center"/>
        <w:rPr/>
      </w:pPr>
      <w:r>
        <w:rPr/>
      </w:r>
    </w:p>
    <w:p>
      <w:pPr>
        <w:pStyle w:val="Normal"/>
        <w:widowControl w:val="false"/>
        <w:autoSpaceDE w:val="false"/>
        <w:jc w:val="center"/>
        <w:rPr/>
      </w:pPr>
      <w:r>
        <w:rPr/>
      </w:r>
    </w:p>
    <w:p>
      <w:pPr>
        <w:pStyle w:val="Normal"/>
        <w:autoSpaceDE w:val="false"/>
        <w:jc w:val="center"/>
        <w:rPr/>
      </w:pPr>
      <w:r>
        <w:rPr/>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jc w:val="center"/>
        <w:rPr>
          <w:b/>
        </w:rPr>
      </w:pPr>
      <w:r>
        <w:rPr>
          <w:b/>
        </w:rPr>
        <w:t>APPLICATION OF THE COGENERATION ASSOCIATION OF CALIFORNIA AND THE ENERGY PRODUCERS AND USERS COALITION</w:t>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jc w:val="center"/>
        <w:rPr>
          <w:b/>
        </w:rPr>
      </w:pPr>
      <w:r>
        <w:rPr>
          <w:b/>
        </w:rPr>
        <w:t>FOR RELIEF PURSUANT TO PUBLIC UTILITIES CODE SECTION 372(f)</w:t>
      </w:r>
    </w:p>
    <w:p>
      <w:pPr>
        <w:pStyle w:val="BlockText"/>
        <w:ind w:start="0" w:end="1440"/>
        <w:rPr>
          <w:b/>
        </w:rPr>
      </w:pPr>
      <w:r>
        <w:rPr>
          <w:b/>
        </w:rPr>
      </w:r>
    </w:p>
    <w:p>
      <w:pPr>
        <w:pStyle w:val="BlockText"/>
        <w:ind w:start="0" w:end="0"/>
        <w:rPr>
          <w:b/>
        </w:rPr>
      </w:pPr>
      <w:r>
        <w:rPr>
          <w:b/>
        </w:rPr>
      </w:r>
    </w:p>
    <w:p>
      <w:pPr>
        <w:pStyle w:val="BlockText"/>
        <w:numPr>
          <w:ilvl w:val="0"/>
          <w:numId w:val="5"/>
        </w:numPr>
        <w:spacing w:lineRule="auto" w:line="480" w:before="0" w:after="0"/>
        <w:ind w:hanging="720" w:start="720" w:end="0"/>
        <w:rPr>
          <w:b/>
        </w:rPr>
      </w:pPr>
      <w:r>
        <w:rPr>
          <w:b/>
        </w:rPr>
        <w:t>INTRODUCTION AND EXECUTIVE SUMMARY</w:t>
      </w:r>
    </w:p>
    <w:p>
      <w:pPr>
        <w:pStyle w:val="BlockText"/>
        <w:spacing w:lineRule="auto" w:line="480" w:before="0" w:after="0"/>
        <w:ind w:firstLine="720" w:start="0" w:end="0"/>
        <w:rPr/>
      </w:pPr>
      <w:r>
        <w:rPr/>
        <w:t xml:space="preserve">Pursuant to California Public Utilities Code Section 372(f), the California Public Utilities Commission (Commission), along with the Electricity Oversight Board (EOB), has the affirmative responsibility to undertake an investigation into specific practices of the California Independent System Operator Corporation (ISO).  The Commission and the EOB are to determine </w:t>
      </w:r>
      <w:r>
        <w:rPr>
          <w:iCs/>
        </w:rPr>
        <w:t xml:space="preserve">if any policy or action undertaken by the ISO, directly or indirectly, unreasonably discourages the </w:t>
      </w:r>
      <w:r>
        <w:rPr/>
        <w:t xml:space="preserve">retention of </w:t>
      </w:r>
      <w:r>
        <w:rPr>
          <w:b/>
          <w:bCs/>
          <w:i/>
          <w:iCs/>
        </w:rPr>
        <w:t>existing</w:t>
      </w:r>
      <w:r>
        <w:rPr/>
        <w:t xml:space="preserve"> self-generation or cogeneration, or the connection of </w:t>
      </w:r>
      <w:r>
        <w:rPr>
          <w:b/>
          <w:bCs/>
          <w:i/>
          <w:iCs/>
        </w:rPr>
        <w:t>new</w:t>
      </w:r>
      <w:r>
        <w:rPr/>
        <w:t xml:space="preserve"> self-generation or cogeneration resources to meet California’s need for electric power.  If the investigation results in an affirmative finding, then the Commission and the EOB must </w:t>
      </w:r>
      <w:r>
        <w:rPr>
          <w:iCs/>
        </w:rPr>
        <w:t>undertake all necessary efforts to revise, mitigate, or eliminate offending policy or action of the ISO.</w:t>
      </w:r>
    </w:p>
    <w:p>
      <w:pPr>
        <w:pStyle w:val="BlockText"/>
        <w:spacing w:lineRule="auto" w:line="480" w:before="0" w:after="0"/>
        <w:ind w:firstLine="720" w:start="0" w:end="0"/>
        <w:rPr>
          <w:iCs/>
        </w:rPr>
      </w:pPr>
      <w:r>
        <w:rPr>
          <w:iCs/>
        </w:rPr>
        <w:t>This application affirmatively demonstrates the offending policies and actions undertaken by the ISO in violation of Section 372(f), and seeks remedial actions for these unreasonable policies and actions.</w:t>
      </w:r>
    </w:p>
    <w:p>
      <w:pPr>
        <w:pStyle w:val="Normal"/>
        <w:spacing w:lineRule="auto" w:line="480"/>
        <w:ind w:firstLine="720" w:end="0"/>
        <w:rPr/>
      </w:pPr>
      <w:r>
        <w:rPr/>
        <w:t>There are multiple ISO actions that have inappropriately discouraged the development and interconnection of generation resources contemplated by Section 372(f).  These resources include both distributed generation and Qualifying Facilities.</w:t>
      </w:r>
      <w:r>
        <w:rPr>
          <w:rStyle w:val="FootnoteCharacters"/>
          <w:rStyle w:val="FootnoteReference"/>
        </w:rPr>
        <w:footnoteReference w:id="2"/>
      </w:r>
      <w:r>
        <w:rPr/>
        <w:t xml:space="preserve">  For the purposes of this filing these generation resources are referred to as “retail customer-owned generation.”</w:t>
      </w:r>
    </w:p>
    <w:p>
      <w:pPr>
        <w:pStyle w:val="Normal"/>
        <w:spacing w:lineRule="auto" w:line="480"/>
        <w:rPr>
          <w:b/>
          <w:bCs/>
        </w:rPr>
      </w:pPr>
      <w:r>
        <w:rPr>
          <w:b/>
          <w:bCs/>
        </w:rPr>
        <w:t>II.</w:t>
        <w:tab/>
        <w:t>DISCUSSION</w:t>
      </w:r>
    </w:p>
    <w:p>
      <w:pPr>
        <w:pStyle w:val="BlockText"/>
        <w:numPr>
          <w:ilvl w:val="0"/>
          <w:numId w:val="4"/>
        </w:numPr>
        <w:spacing w:before="0" w:after="0"/>
        <w:ind w:hanging="360" w:start="1080" w:end="0"/>
        <w:rPr>
          <w:b/>
          <w:bCs/>
          <w:iCs/>
        </w:rPr>
      </w:pPr>
      <w:r>
        <w:rPr>
          <w:b/>
          <w:bCs/>
          <w:iCs/>
        </w:rPr>
        <w:t>The Commission and the EOB Must Step in Where the ISO Has Failed</w:t>
      </w:r>
    </w:p>
    <w:p>
      <w:pPr>
        <w:pStyle w:val="BlockText"/>
        <w:spacing w:before="0" w:after="0"/>
        <w:ind w:start="0" w:end="0"/>
        <w:rPr>
          <w:b/>
          <w:bCs/>
          <w:iCs/>
        </w:rPr>
      </w:pPr>
      <w:r>
        <w:rPr>
          <w:b/>
          <w:bCs/>
          <w:iCs/>
        </w:rPr>
      </w:r>
    </w:p>
    <w:p>
      <w:pPr>
        <w:pStyle w:val="BlockText"/>
        <w:spacing w:lineRule="auto" w:line="480" w:before="0" w:after="0"/>
        <w:ind w:firstLine="720" w:start="0" w:end="0"/>
        <w:rPr>
          <w:iCs/>
        </w:rPr>
      </w:pPr>
      <w:r>
        <w:rPr>
          <w:iCs/>
        </w:rPr>
        <w:t>It is important at the outset to appreciate the posture of the ISO regarding the important issues presented by Section 372(f).  The following is sworn testimony recently presented to the Commission by an ISO executive:</w:t>
      </w:r>
    </w:p>
    <w:p>
      <w:pPr>
        <w:pStyle w:val="BlockText"/>
        <w:spacing w:before="0" w:after="0"/>
        <w:rPr>
          <w:i/>
          <w:i/>
          <w:iCs/>
        </w:rPr>
      </w:pPr>
      <w:r>
        <w:rPr>
          <w:i/>
          <w:iCs/>
        </w:rPr>
        <w:t>Q:</w:t>
        <w:tab/>
        <w:t>Assume with me that the California ISO is successful in this argument in replacing the cost allocation and rate design policies that the CPUC currently has in effect for self-generation with those that the California ISO is advocating.  How many megawatts of the total self-generation capacity that is currently installed and operating does the California ISO estimate will become uneconomical and forced to shut down?</w:t>
      </w:r>
    </w:p>
    <w:p>
      <w:pPr>
        <w:pStyle w:val="BlockText"/>
        <w:spacing w:before="0" w:after="0"/>
        <w:rPr>
          <w:i/>
          <w:i/>
          <w:iCs/>
        </w:rPr>
      </w:pPr>
      <w:r>
        <w:rPr>
          <w:i/>
          <w:iCs/>
        </w:rPr>
      </w:r>
    </w:p>
    <w:p>
      <w:pPr>
        <w:pStyle w:val="BlockText"/>
        <w:spacing w:before="0" w:after="0"/>
        <w:rPr/>
      </w:pPr>
      <w:r>
        <w:rPr>
          <w:i/>
          <w:iCs/>
        </w:rPr>
        <w:t>A:</w:t>
        <w:tab/>
        <w:t>I have no idea.</w:t>
      </w:r>
      <w:r>
        <w:rPr>
          <w:rStyle w:val="FootnoteCharacters"/>
          <w:rStyle w:val="FootnoteReference"/>
        </w:rPr>
        <w:footnoteReference w:id="3"/>
      </w:r>
    </w:p>
    <w:p>
      <w:pPr>
        <w:pStyle w:val="BlockText"/>
        <w:spacing w:before="0" w:after="0"/>
        <w:ind w:start="0" w:end="1440"/>
        <w:rPr/>
      </w:pPr>
      <w:r>
        <w:rPr/>
      </w:r>
    </w:p>
    <w:p>
      <w:pPr>
        <w:pStyle w:val="Normal"/>
        <w:spacing w:lineRule="auto" w:line="480"/>
        <w:ind w:firstLine="720" w:end="0"/>
        <w:rPr/>
      </w:pPr>
      <w:r>
        <w:rPr>
          <w:rFonts w:cs="Arial"/>
        </w:rPr>
        <w:t xml:space="preserve">In short, without any idea about the implications of their actions, the ISO is advocating policies regarding California retail customer-owned generation resources.  No studies or analyses have been undertaken by the ISO to determine the generation supply implications for the California market under the ISO policies.  Accordingly, any suggestion that the ISO considered the reasonableness of these policies is hollow and disturbing.  The ISO policies affecting self-generation and cogeneration should be considered </w:t>
      </w:r>
      <w:r>
        <w:rPr>
          <w:rFonts w:cs="Arial"/>
          <w:i/>
          <w:iCs/>
        </w:rPr>
        <w:t>per se</w:t>
      </w:r>
      <w:r>
        <w:rPr>
          <w:rFonts w:cs="Arial"/>
        </w:rPr>
        <w:t xml:space="preserve"> unreasonable in light of the ISO’s shocking lack of any analysis.  The California legislature and Congress have stated and restated support the development of self-generation and cogeneration resources.  The ISO does not even know if its actions support or conflict with these legislative directives.</w:t>
      </w:r>
    </w:p>
    <w:p>
      <w:pPr>
        <w:pStyle w:val="Normal"/>
        <w:spacing w:lineRule="auto" w:line="480"/>
        <w:ind w:firstLine="720" w:end="0"/>
        <w:rPr>
          <w:rFonts w:cs="Arial"/>
        </w:rPr>
      </w:pPr>
      <w:r>
        <w:rPr>
          <w:rFonts w:cs="Arial"/>
        </w:rPr>
        <w:t>Section 372(f) compels the Commission and the EOB to make the determinations that the ISO has ignored the implications of ISO actions on retail customer-owned generation.  More importantly, the Commission and the EOB must remedy actions that discourage retail customer-owned generation.</w:t>
      </w:r>
      <w:r>
        <w:rPr>
          <w:rStyle w:val="FootnoteCharacters"/>
          <w:rStyle w:val="FootnoteReference"/>
          <w:rFonts w:cs="Arial"/>
        </w:rPr>
        <w:footnoteReference w:id="4"/>
      </w:r>
    </w:p>
    <w:p>
      <w:pPr>
        <w:pStyle w:val="BodyTextIndent3"/>
        <w:numPr>
          <w:ilvl w:val="0"/>
          <w:numId w:val="4"/>
        </w:numPr>
        <w:rPr>
          <w:b/>
          <w:bCs/>
        </w:rPr>
      </w:pPr>
      <w:r>
        <w:rPr>
          <w:b/>
          <w:bCs/>
        </w:rPr>
        <w:t>The ISO May Not Ignore the Existing California Legislative and Commission Policy Directives that Encourage Self-generation and Cogeneration</w:t>
      </w:r>
    </w:p>
    <w:p>
      <w:pPr>
        <w:pStyle w:val="BodyTextIndent3"/>
        <w:rPr>
          <w:b/>
          <w:bCs/>
        </w:rPr>
      </w:pPr>
      <w:r>
        <w:rPr>
          <w:b/>
          <w:bCs/>
        </w:rPr>
      </w:r>
    </w:p>
    <w:p>
      <w:pPr>
        <w:pStyle w:val="BodyTextIn"/>
        <w:widowControl/>
        <w:autoSpaceDE w:val="true"/>
        <w:rPr>
          <w:rFonts w:cs="Arial"/>
          <w:szCs w:val="20"/>
        </w:rPr>
      </w:pPr>
      <w:r>
        <w:rPr>
          <w:rFonts w:cs="Arial"/>
          <w:szCs w:val="20"/>
        </w:rPr>
        <w:t>The ISO has demonstrated that is it not concerned with the implications of its actions that unreasonably discourage retail customer-owned generation, but it should be concerned for several important reasons.  Of these several reasons, there are two overarching policy considerations that the ISO should hold paramount.</w:t>
      </w:r>
    </w:p>
    <w:p>
      <w:pPr>
        <w:pStyle w:val="Normal"/>
        <w:spacing w:lineRule="auto" w:line="480"/>
        <w:ind w:firstLine="720" w:end="0"/>
        <w:rPr>
          <w:rFonts w:cs="Arial"/>
        </w:rPr>
      </w:pPr>
      <w:r>
        <w:rPr>
          <w:rFonts w:cs="Arial"/>
        </w:rPr>
        <w:t>First, in order to establish a successful energy market, California must retain existing and develop new generation resources that are interconnected to the electric grid.  Reasonable and economically rational regulatory terms and conditions are critical to support these interconnections.  More suppliers of generation to the California grid are essential now as California faces a critical shortage of power supply.  Actions that unreasonably discourage generation interconnection only serve to exacerbate a well-recognized crisis in the California market.</w:t>
      </w:r>
    </w:p>
    <w:p>
      <w:pPr>
        <w:pStyle w:val="BodyTextIn"/>
        <w:widowControl/>
        <w:autoSpaceDE w:val="true"/>
        <w:rPr>
          <w:rFonts w:cs="Arial"/>
          <w:szCs w:val="20"/>
        </w:rPr>
      </w:pPr>
      <w:r>
        <w:rPr>
          <w:rFonts w:cs="Arial"/>
          <w:szCs w:val="20"/>
        </w:rPr>
        <w:t>Second, retail customer-owned generation promotes a fundamental objective of any successful market -- customer self-sufficiency.  A California customer needs the market tools to elect a cost effective investment in generation to serve their own load, or to choose demand side management measures, or to seek contract supply hedges against price volatility, or to continue to rely upon bundled utility services under known market risks.  The concept of customer self-sufficiency is and has been a cornerstone of California’s existing policies related to retail customer-owned generation.  Customers have been encouraged to choose their own supply options through local capital investment without economic penalties associated with that choice.  The ISO policies impose unneeded and unreasonable economic burdens on customers who would otherwise choose self-reliance through retail customer-owned generation.  The ISO actions undermine and defeat California’s existing policies.  The ISO actions are a disservice to the successful establishment of a generation supply market, and they render uneconomic a critical market tool for customer self-sufficiency.</w:t>
      </w:r>
    </w:p>
    <w:p>
      <w:pPr>
        <w:pStyle w:val="Normal"/>
        <w:spacing w:lineRule="auto" w:line="480"/>
        <w:ind w:firstLine="720" w:end="0"/>
        <w:rPr>
          <w:rFonts w:cs="Arial"/>
        </w:rPr>
      </w:pPr>
      <w:r>
        <w:rPr>
          <w:rFonts w:cs="Arial"/>
        </w:rPr>
        <w:t>In addition to these two policies California has recognized other important objectives regarding retail customer-owned generation that should be respected by the ISO.  These resources are fuel-efficient, environmentally preferable, support the competitiveness of California businesses, assist in relieving transmission congestion and enhance the reliability of the electric system by local deployment of resources.  The imposition of burdensome costs and unreasonable operational requirements will deter the development of new generation.  Existing retail customer-owned generation will be encouraged to “island” its generation and load from the grid, and important resources will be unnecessarily lost.</w:t>
      </w:r>
    </w:p>
    <w:p>
      <w:pPr>
        <w:pStyle w:val="BodyTextIn"/>
        <w:widowControl/>
        <w:autoSpaceDE w:val="true"/>
        <w:rPr>
          <w:rFonts w:cs="Arial"/>
          <w:szCs w:val="20"/>
        </w:rPr>
      </w:pPr>
      <w:r>
        <w:rPr>
          <w:rFonts w:cs="Arial"/>
          <w:szCs w:val="20"/>
        </w:rPr>
        <w:t>Rather than supporting and promoting these resources, ISO policies impose metering, billing, scheduling and operational requirements that create disincentive to the development of retail customer-owned generation.  Traditional Commission policies assure that customers who choose retail customer-owned generation options are not allocated charges for load that does not actually withdraw power from the grid.  Traditional Commission policies assure that customers who choose retail customer-owned generation options are permitted to sell power that is surplus or net of service to customer load (including all Section 218 permitted service loads).  The ISO policies will defeat these traditional Commission policies.</w:t>
      </w:r>
    </w:p>
    <w:p>
      <w:pPr>
        <w:pStyle w:val="Normal"/>
        <w:numPr>
          <w:ilvl w:val="0"/>
          <w:numId w:val="4"/>
        </w:numPr>
        <w:rPr>
          <w:rFonts w:cs="Arial"/>
          <w:b/>
          <w:bCs/>
        </w:rPr>
      </w:pPr>
      <w:r>
        <w:rPr>
          <w:rFonts w:cs="Arial"/>
          <w:b/>
          <w:bCs/>
        </w:rPr>
        <w:t>California’s Historical Treatment of Retail Customer-Owned Generation Interconnection Is Reasonable and Should Be Sustained</w:t>
      </w:r>
    </w:p>
    <w:p>
      <w:pPr>
        <w:pStyle w:val="BodyTextIn"/>
        <w:widowControl/>
        <w:autoSpaceDE w:val="true"/>
        <w:ind w:hanging="0" w:end="0"/>
        <w:rPr>
          <w:rFonts w:cs="Arial"/>
          <w:b/>
          <w:bCs/>
          <w:szCs w:val="20"/>
        </w:rPr>
      </w:pPr>
      <w:r>
        <w:rPr>
          <w:rFonts w:cs="Arial"/>
          <w:b/>
          <w:bCs/>
          <w:szCs w:val="20"/>
        </w:rPr>
      </w:r>
    </w:p>
    <w:p>
      <w:pPr>
        <w:pStyle w:val="BodyTextIn"/>
        <w:widowControl/>
        <w:autoSpaceDE w:val="true"/>
        <w:rPr/>
      </w:pPr>
      <w:r>
        <w:rPr>
          <w:rFonts w:cs="Arial"/>
          <w:szCs w:val="20"/>
        </w:rPr>
        <w:t>For over twenty years retail customer-owned generation in California has developed in contemplation of the laws and regulations promulgated by Congress, the Federal Energy Regulatory Commission (FERC), the California legislature and the Commission.  As a result, these resources have been configured or structured in a way to serve customer on-site load</w:t>
      </w:r>
      <w:r>
        <w:rPr>
          <w:rStyle w:val="FootnoteCharacters"/>
          <w:rStyle w:val="FootnoteReference"/>
          <w:rFonts w:cs="Arial"/>
          <w:szCs w:val="20"/>
        </w:rPr>
        <w:footnoteReference w:id="5"/>
      </w:r>
      <w:r>
        <w:rPr>
          <w:rFonts w:cs="Arial"/>
          <w:szCs w:val="20"/>
        </w:rPr>
        <w:t>, and deliver the net generation to the grid through at a single site boundary meter.</w:t>
      </w:r>
    </w:p>
    <w:p>
      <w:pPr>
        <w:pStyle w:val="BodyTextIndent2"/>
        <w:spacing w:lineRule="auto" w:line="480"/>
        <w:ind w:firstLine="720" w:start="0" w:end="0"/>
        <w:rPr>
          <w:rFonts w:ascii="Arial" w:hAnsi="Arial" w:cs="Arial"/>
        </w:rPr>
      </w:pPr>
      <w:r>
        <w:rPr>
          <w:rFonts w:cs="Arial" w:ascii="Arial" w:hAnsi="Arial"/>
        </w:rPr>
        <w:t>The energy from the generator is delivered directly through wires owned by the customer to the customer’s own facilities.  No use is made of the publicly dedicated distribution or transmission facilities of either the interconnected Utility Distribution Company (UDC) or the ISO.  This use of energy by the customer is referred to as “behind the meter” because it is consumed on the customer’s premises before the meter interconnecting the customer to the UDC records any transactions.</w:t>
      </w:r>
    </w:p>
    <w:p>
      <w:pPr>
        <w:pStyle w:val="BodyTextIndent2"/>
        <w:spacing w:lineRule="auto" w:line="480"/>
        <w:ind w:firstLine="720" w:start="0" w:end="0"/>
        <w:rPr>
          <w:rFonts w:ascii="Arial" w:hAnsi="Arial" w:cs="Arial"/>
        </w:rPr>
      </w:pPr>
      <w:r>
        <w:rPr>
          <w:rFonts w:cs="Arial" w:ascii="Arial" w:hAnsi="Arial"/>
        </w:rPr>
        <w:t>The following diagram illustrates the configuration of retail customer-owned generation in California that are at issue.</w:t>
      </w:r>
      <w:r>
        <w:rPr>
          <w:rStyle w:val="FootnoteCharacters"/>
          <w:rFonts w:cs="Arial"/>
        </w:rPr>
        <w:t xml:space="preserve"> </w:t>
      </w:r>
      <w:r>
        <w:rPr>
          <w:rStyle w:val="FootnoteCharacters"/>
          <w:rStyle w:val="FootnoteReference"/>
          <w:rFonts w:cs="Arial"/>
        </w:rPr>
        <w:footnoteReference w:id="6"/>
      </w:r>
    </w:p>
    <w:p>
      <w:pPr>
        <w:pStyle w:val="Normal"/>
        <w:rPr/>
      </w:pPr>
      <w:r>
        <w:rPr/>
        <w:object w:dxaOrig="8639" w:dyaOrig="354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31.95pt;height:177.3pt" filled="f" o:ole="">
            <v:imagedata r:id="rId15" o:title=""/>
          </v:shape>
          <o:OLEObject Type="Embed" ProgID="" ShapeID="ole_rId14" DrawAspect="Content" ObjectID="_1486266596" r:id="rId14"/>
        </w:object>
      </w:r>
    </w:p>
    <w:p>
      <w:pPr>
        <w:pStyle w:val="Normal"/>
        <w:rPr>
          <w:b/>
        </w:rPr>
      </w:pPr>
      <w:r>
        <w:rPr>
          <w:b/>
        </w:rPr>
      </w:r>
    </w:p>
    <w:p>
      <w:pPr>
        <w:pStyle w:val="Normal"/>
        <w:rPr/>
      </w:pPr>
      <w:r>
        <w:rPr>
          <w:b/>
        </w:rPr>
        <w:t>“</w:t>
      </w:r>
      <w:r>
        <w:rPr>
          <w:b/>
        </w:rPr>
        <w:t>A”</w:t>
      </w:r>
      <w:r>
        <w:rPr/>
        <w:t xml:space="preserve"> is a measure of power flow from the Customer’s Generator to the Distribution System.  This power flow is “net” of Generator Auxiliary, Host and Section 218 Loads.  This meter is typically located at and referenced as the site boundary or point of common coupling meter.</w:t>
      </w:r>
    </w:p>
    <w:p>
      <w:pPr>
        <w:pStyle w:val="Normal"/>
        <w:rPr/>
      </w:pPr>
      <w:r>
        <w:rPr/>
      </w:r>
    </w:p>
    <w:p>
      <w:pPr>
        <w:pStyle w:val="Normal"/>
        <w:rPr/>
      </w:pPr>
      <w:r>
        <w:rPr>
          <w:b/>
        </w:rPr>
        <w:t>“</w:t>
      </w:r>
      <w:r>
        <w:rPr>
          <w:b/>
        </w:rPr>
        <w:t>B”</w:t>
      </w:r>
      <w:r>
        <w:rPr/>
        <w:t xml:space="preserve"> is a measure of power flow from the Distribution System to the Customer Host Load and/or Generator Auxiliary Load.  This occurs either at times when the generator is not operating or if the load exceeds the capacity of the generator. </w:t>
      </w:r>
    </w:p>
    <w:p>
      <w:pPr>
        <w:pStyle w:val="Normal"/>
        <w:ind w:hanging="720" w:start="720" w:end="0"/>
        <w:rPr/>
      </w:pPr>
      <w:r>
        <w:rPr/>
      </w:r>
    </w:p>
    <w:p>
      <w:pPr>
        <w:pStyle w:val="Normal"/>
        <w:rPr/>
      </w:pPr>
      <w:r>
        <w:rPr>
          <w:b/>
        </w:rPr>
        <w:t>“</w:t>
      </w:r>
      <w:r>
        <w:rPr>
          <w:b/>
        </w:rPr>
        <w:t>C”</w:t>
      </w:r>
      <w:r>
        <w:rPr/>
        <w:t xml:space="preserve"> is a measure of the net Generator output, reflecting output after Generator Auxiliary Loads are served, but before other loads are served.</w:t>
      </w:r>
    </w:p>
    <w:p>
      <w:pPr>
        <w:pStyle w:val="Normal"/>
        <w:rPr/>
      </w:pPr>
      <w:r>
        <w:rPr/>
      </w:r>
    </w:p>
    <w:p>
      <w:pPr>
        <w:pStyle w:val="Normal"/>
        <w:rPr/>
      </w:pPr>
      <w:r>
        <w:rPr>
          <w:b/>
        </w:rPr>
        <w:t>Generator Auxiliary Loads</w:t>
      </w:r>
      <w:r>
        <w:rPr/>
        <w:t xml:space="preserve"> are only those loads associated with the operation of the Generator for its startup and continued operation.</w:t>
      </w:r>
    </w:p>
    <w:p>
      <w:pPr>
        <w:pStyle w:val="Normal"/>
        <w:rPr>
          <w:rFonts w:eastAsia="Arial"/>
        </w:rPr>
      </w:pPr>
      <w:r>
        <w:rPr>
          <w:rFonts w:eastAsia="Arial"/>
        </w:rPr>
        <w:t xml:space="preserve"> </w:t>
      </w:r>
    </w:p>
    <w:p>
      <w:pPr>
        <w:pStyle w:val="Normal"/>
        <w:rPr/>
      </w:pPr>
      <w:r>
        <w:rPr>
          <w:b/>
        </w:rPr>
        <w:t>Host Load</w:t>
      </w:r>
      <w:r>
        <w:rPr/>
        <w:t xml:space="preserve"> is defined in the Glossary section of Rule 21 to UDC Tariffs as electrical power that is consumed by the Customer at the property on which the Generating Facility is located.  Host load that is served by the Electrical Corporation is measured at the Point of Common Coupling </w:t>
      </w:r>
    </w:p>
    <w:p>
      <w:pPr>
        <w:pStyle w:val="Normal"/>
        <w:rPr/>
      </w:pPr>
      <w:r>
        <w:rPr/>
      </w:r>
    </w:p>
    <w:p>
      <w:pPr>
        <w:pStyle w:val="BodyTextIn"/>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rPr/>
      </w:pPr>
      <w:r>
        <w:rPr>
          <w:b/>
        </w:rPr>
        <w:t>Section 218 Load</w:t>
      </w:r>
      <w:r>
        <w:rPr/>
        <w:t xml:space="preserve"> is load that is served “over-the-fence” to a neighbor or for other use by the customer without using the Distribution System, </w:t>
      </w:r>
      <w:r>
        <w:rPr>
          <w:i/>
          <w:iCs/>
        </w:rPr>
        <w:t>e.g.</w:t>
      </w:r>
      <w:r>
        <w:rPr/>
        <w:t>, through either customer dedicated facilities or private wires.  Section 218 provides conditions for the delivery of power from retail customer-owned generation that would exempt the generator from classification as a state regulated Electrical Corporation.</w:t>
      </w:r>
    </w:p>
    <w:p>
      <w:pPr>
        <w:pStyle w:val="BodyTextIn"/>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rPr>
          <w:rFonts w:cs="Arial"/>
          <w:szCs w:val="20"/>
        </w:rPr>
      </w:pPr>
      <w:r>
        <w:rPr>
          <w:rFonts w:cs="Arial"/>
          <w:szCs w:val="20"/>
        </w:rPr>
      </w:r>
    </w:p>
    <w:p>
      <w:pPr>
        <w:pStyle w:val="Normal"/>
        <w:spacing w:lineRule="auto" w:line="480"/>
        <w:ind w:firstLine="720" w:end="0"/>
        <w:rPr>
          <w:rFonts w:cs="Arial"/>
        </w:rPr>
      </w:pPr>
      <w:r>
        <w:rPr/>
        <w:t xml:space="preserve">A customer relying on its own generation typically will maintain a connection to the grid through a single meter located at the “point of common coupling” for two reasons.  The first reason is to accommodate power sales to the grid from the generator (to the UDC under existing power purchase agreements or another market participant).  The second reason is to </w:t>
      </w:r>
      <w:r>
        <w:rPr>
          <w:rFonts w:cs="Arial"/>
        </w:rPr>
        <w:t>provide standby service from the UDC in the event of a generator outage.  Significantly, load served by retail customer-owned generation typically secures standby service from the UDC pursuant to a state jurisdictional tariff and contract to provide for outages.  The standby tariff allocates costs to a standby customer based upon use of standby services by the entire standby customer class.  The tariff covers the UDCs’ costs of transmission, including transmission assets under the control of the ISO, ancillary services, the Grid Management Charge, distribution, and, if the customer chooses, standby energy.</w:t>
      </w:r>
      <w:r>
        <w:rPr>
          <w:rStyle w:val="FootnoteCharacters"/>
          <w:rStyle w:val="FootnoteReference"/>
          <w:rFonts w:cs="Arial"/>
        </w:rPr>
        <w:footnoteReference w:id="7"/>
      </w:r>
    </w:p>
    <w:p>
      <w:pPr>
        <w:pStyle w:val="BodyTextIn"/>
        <w:keepNext w:val="true"/>
        <w:widowControl/>
        <w:autoSpaceDE w:val="true"/>
        <w:rPr>
          <w:rFonts w:cs="Arial"/>
          <w:szCs w:val="20"/>
        </w:rPr>
      </w:pPr>
      <w:r>
        <w:rPr>
          <w:rFonts w:cs="Arial"/>
          <w:szCs w:val="20"/>
        </w:rPr>
        <w:t>The ISO actions unreasonably seek to change the Commission’s historical treatment of retail customer-owned generation, unless the customer physically disconnects from the grid.  The ISO seeks to meter and bill retail customer-owned generation on a “gross,” as opposed to “net,” basis.  This means that the load served by retail customer-owned generation would be required to be separately metered, billed and even scheduled without any consideration of the integrated generation serving the load.  Similarly, the ISO would require the generation to be separately metered, billed and scheduled as though it had no relationship to its integrated load.  These charges would be imposed on the entire connected load even if the connection maintained only for the purpose of securing standby service.  The result is a dramatic change in the traditional California treatment of these load and resources, and a dramatic economic impact on these integrated operations.</w:t>
      </w:r>
      <w:r>
        <w:rPr>
          <w:rStyle w:val="FootnoteCharacters"/>
          <w:rFonts w:cs="Arial"/>
        </w:rPr>
        <w:t xml:space="preserve"> </w:t>
      </w:r>
      <w:r>
        <w:rPr>
          <w:rStyle w:val="FootnoteCharacters"/>
          <w:rStyle w:val="FootnoteReference"/>
          <w:rFonts w:cs="Arial"/>
        </w:rPr>
        <w:footnoteReference w:id="8"/>
      </w:r>
    </w:p>
    <w:p>
      <w:pPr>
        <w:pStyle w:val="BodyTextIn"/>
        <w:keepNext w:val="true"/>
        <w:widowControl/>
        <w:autoSpaceDE w:val="true"/>
        <w:rPr>
          <w:rFonts w:cs="Arial"/>
          <w:szCs w:val="20"/>
        </w:rPr>
      </w:pPr>
      <w:r>
        <w:rPr>
          <w:rFonts w:cs="Arial"/>
          <w:szCs w:val="20"/>
        </w:rPr>
        <w:t>In the diagram above, there could be multiple load points beyond a single meter.  There could be multiple generators beyond a single meter located at a point of common coupling.  Under existing Commission treatment, these multiple generators and multiple loads are all netted at the site boundary meter.  This single meter informs the UDC of the power that is actually taken by or delivered from the customer.  Accordingly, this single meter provides the information necessary for the UDC to reflect the customer’s use of the UDC system.  The ISO’s intended treatment would require the separate metering of all load points and all generators and render the single site boundary meter irrelevant.  The ISO would pretend that all load from the customer site is “using” the ISO grid, and that all generation is “using” the ISO grid.  This change is treatment requires not only expensive, duplicative and unnecessary metering.  The ISO would require the customer to retain a scheduling coordinator for both the load and the generation, as though these were separate transactions with the grid.  Moreover, the ISO will impose charges on the customer as though its entire load was using the grid, even when the customer’s own generation was serving the entire load.</w:t>
      </w:r>
    </w:p>
    <w:p>
      <w:pPr>
        <w:pStyle w:val="BodyTextIn"/>
        <w:keepNext w:val="true"/>
        <w:widowControl/>
        <w:autoSpaceDE w:val="true"/>
        <w:rPr/>
      </w:pPr>
      <w:r>
        <w:rPr>
          <w:rFonts w:cs="Arial"/>
          <w:szCs w:val="20"/>
        </w:rPr>
        <w:t>These changes in metering, scheduling and billing are unreasonable and unnecessary.  The Commission’s treatment of these resources has been relied upon for over twenty years in California.  Standard offer contracts and interconnection rules approved by the Commission for QF resources expressly contemplate net metering through the permitted delivery of surplus power.</w:t>
      </w:r>
      <w:r>
        <w:rPr>
          <w:rStyle w:val="FootnoteCharacters"/>
          <w:rStyle w:val="FootnoteReference"/>
          <w:rFonts w:cs="Arial"/>
          <w:szCs w:val="20"/>
        </w:rPr>
        <w:footnoteReference w:id="9"/>
      </w:r>
      <w:r>
        <w:rPr>
          <w:rFonts w:cs="Arial"/>
          <w:szCs w:val="20"/>
        </w:rPr>
        <w:t xml:space="preserve">  The resources have proven reliable.  The UDCs in California have not needed or required separate load and generation metering data in order to operate the grid with integrity and reliably.  It would appear that the only reason for the ISO’s desired change is to be able to impose charges on both the load and operations of retail customer-owned generation installations.  The imposition of these charges is unreasonable to the extent the loads and generation do actually withdraw power or deliver power to the grid through the ISO controlled system.  The Commission and the EOB should seek to eliminate these unwarranted changes in California policy.</w:t>
      </w:r>
    </w:p>
    <w:p>
      <w:pPr>
        <w:pStyle w:val="BodyTextIn"/>
        <w:keepNext w:val="true"/>
        <w:keepLines/>
        <w:widowControl/>
        <w:numPr>
          <w:ilvl w:val="0"/>
          <w:numId w:val="4"/>
        </w:numPr>
        <w:autoSpaceDE w:val="true"/>
        <w:spacing w:lineRule="auto" w:line="240"/>
        <w:rPr>
          <w:rFonts w:cs="Arial"/>
          <w:b/>
          <w:bCs/>
          <w:szCs w:val="20"/>
        </w:rPr>
      </w:pPr>
      <w:r>
        <w:rPr>
          <w:rFonts w:cs="Arial"/>
          <w:b/>
          <w:bCs/>
          <w:szCs w:val="20"/>
        </w:rPr>
        <w:t>An Examination of the Unreasonable Costs Imposed by the ISO Demonstrates that Retail Customer-Owned Generation Will Be Discouraged</w:t>
      </w:r>
    </w:p>
    <w:p>
      <w:pPr>
        <w:pStyle w:val="BodyTextIn"/>
        <w:keepNext w:val="true"/>
        <w:keepLines/>
        <w:widowControl/>
        <w:autoSpaceDE w:val="true"/>
        <w:spacing w:lineRule="auto" w:line="240"/>
        <w:rPr>
          <w:rFonts w:cs="Arial"/>
          <w:b/>
          <w:bCs/>
          <w:szCs w:val="20"/>
        </w:rPr>
      </w:pPr>
      <w:r>
        <w:rPr>
          <w:rFonts w:cs="Arial"/>
          <w:b/>
          <w:bCs/>
          <w:szCs w:val="20"/>
        </w:rPr>
      </w:r>
    </w:p>
    <w:p>
      <w:pPr>
        <w:pStyle w:val="BodyTextIn"/>
        <w:keepNext w:val="true"/>
        <w:keepLines/>
        <w:widowControl/>
        <w:autoSpaceDE w:val="true"/>
        <w:rPr>
          <w:rFonts w:cs="Arial"/>
          <w:szCs w:val="20"/>
        </w:rPr>
      </w:pPr>
      <w:r>
        <w:rPr>
          <w:rFonts w:cs="Arial"/>
          <w:szCs w:val="20"/>
        </w:rPr>
        <w:t>The ISO’s treatment will cause a material increase in the costs incurred by load served by retail customer-owned generation.  The change in treatment is unwarranted and unreasonable with respect to these integrated operations.  The ISO’s treatment discourages new interconnection of these resources and discourages existing resources from remaining part of the grid.</w:t>
      </w:r>
    </w:p>
    <w:p>
      <w:pPr>
        <w:pStyle w:val="BodyTextIn"/>
        <w:widowControl/>
        <w:autoSpaceDE w:val="true"/>
        <w:rPr>
          <w:rFonts w:cs="Arial"/>
          <w:szCs w:val="20"/>
        </w:rPr>
      </w:pPr>
      <w:r>
        <w:rPr>
          <w:rFonts w:cs="Arial"/>
          <w:szCs w:val="20"/>
        </w:rPr>
        <w:t>The discouraging economic implications of the ISO’s treatment are easy to appreciate by considering a representative example of a typical California cogeneration operation.  Assume the following generation and load configuration:  (1) an SCE end-use customer relies upon a 52 MW generator to serve auxiliary load of 2 MW and on-site load of 35 MW;  (2) 15 MW of net generation are sold to the Power Exchange during a majority of peak period hours (4,400 hours) at a marginal recovery of $8.77/MWh, and total deliveries are 66,000 MWhs;  (3) the customer’s load is served at 10 discrete load points which the ISO would subject to metering.</w:t>
      </w:r>
    </w:p>
    <w:p>
      <w:pPr>
        <w:pStyle w:val="BodyTextIn"/>
        <w:widowControl/>
        <w:autoSpaceDE w:val="true"/>
        <w:rPr/>
      </w:pPr>
      <w:r>
        <w:rPr>
          <w:rFonts w:cs="Arial"/>
          <w:szCs w:val="20"/>
        </w:rPr>
        <w:t xml:space="preserve">Under the existing Commission approved rates from SCE, the total grid charges (including PX scheduling and GMC) and transmission charges (including TAC and ancillary services) applicable to this operation would be approximately $526,665.  Under the ISO’s treatment the charges for these same services will be approximately $1,392,108.  The increase in costs is $813,288, or </w:t>
      </w:r>
      <w:r>
        <w:rPr>
          <w:rFonts w:cs="Arial"/>
          <w:b/>
          <w:bCs/>
          <w:szCs w:val="20"/>
          <w:u w:val="single"/>
        </w:rPr>
        <w:t>over two and one-half times</w:t>
      </w:r>
      <w:r>
        <w:rPr>
          <w:rFonts w:cs="Arial"/>
          <w:szCs w:val="20"/>
        </w:rPr>
        <w:t xml:space="preserve"> the charges under the existing Commission policies.</w:t>
      </w:r>
    </w:p>
    <w:p>
      <w:pPr>
        <w:pStyle w:val="BodyTextIn"/>
        <w:widowControl/>
        <w:autoSpaceDE w:val="true"/>
        <w:rPr>
          <w:rFonts w:cs="Arial"/>
          <w:szCs w:val="20"/>
        </w:rPr>
      </w:pPr>
      <w:r>
        <w:rPr>
          <w:rFonts w:cs="Arial"/>
          <w:szCs w:val="20"/>
        </w:rPr>
        <w:t>In addition to the grid and transmission charges, the charges for metering need to be assessed.  Under the assumed generation and load configuration there are potentially 10 additional load meters that would be required by the ISO.  Conservatively assuming a meter installation cost of approximately $36,000 per meter, there is an additional cost of $360,000.</w:t>
      </w:r>
    </w:p>
    <w:p>
      <w:pPr>
        <w:pStyle w:val="BodyTextIn"/>
        <w:widowControl/>
        <w:autoSpaceDE w:val="true"/>
        <w:rPr/>
      </w:pPr>
      <w:r>
        <w:rPr/>
        <w:t>In short, the costs of the ISO treatment are dramatic, but these costs must be contrasted to the projected revenues in order to clearly see the ISO’s policies as violating Section 372(f).  The total marginal income revenues from sales of 66,000 MWh at $8.77 per MWh equal $578,820.  Under the Commission’s treatment the net revenues to the operation would be $52,155 ($578,820 of marginal revenue minus $526,665 of grid and transmission costs).  Under the ISO’s treatment, the marginal revenues are overwhelmed by the costs.  The resulting “benefit” to the operation is a loss of -$813,288, and this calculation excludes the additional costs of metering.  The following table outlines these contrasting charges, but without consideration of additional metering costs.</w:t>
      </w:r>
    </w:p>
    <w:tbl>
      <w:tblPr>
        <w:tblW w:w="10080" w:type="dxa"/>
        <w:jc w:val="start"/>
        <w:tblInd w:w="-690" w:type="dxa"/>
        <w:tblLayout w:type="fixed"/>
        <w:tblCellMar>
          <w:top w:w="0" w:type="dxa"/>
          <w:start w:w="30" w:type="dxa"/>
          <w:bottom w:w="0" w:type="dxa"/>
          <w:end w:w="30" w:type="dxa"/>
        </w:tblCellMar>
      </w:tblPr>
      <w:tblGrid>
        <w:gridCol w:w="1080"/>
        <w:gridCol w:w="4860"/>
        <w:gridCol w:w="1530"/>
        <w:gridCol w:w="1440"/>
        <w:gridCol w:w="1170"/>
      </w:tblGrid>
      <w:tr>
        <w:trPr>
          <w:trHeight w:val="250" w:hRule="atLeast"/>
        </w:trPr>
        <w:tc>
          <w:tcPr>
            <w:tcW w:w="10080" w:type="dxa"/>
            <w:gridSpan w:val="5"/>
            <w:tcBorders>
              <w:top w:val="double" w:sz="4" w:space="0" w:color="000000"/>
              <w:start w:val="double" w:sz="4" w:space="0" w:color="000000"/>
              <w:bottom w:val="double" w:sz="4" w:space="0" w:color="000000"/>
              <w:end w:val="double" w:sz="4" w:space="0" w:color="000000"/>
            </w:tcBorders>
          </w:tcPr>
          <w:p>
            <w:pPr>
              <w:pStyle w:val="Normal"/>
              <w:keepLines/>
              <w:tabs>
                <w:tab w:val="clear" w:pos="720"/>
                <w:tab w:val="left" w:pos="510" w:leader="none"/>
              </w:tabs>
              <w:snapToGrid w:val="false"/>
              <w:ind w:start="150" w:end="0"/>
              <w:jc w:val="center"/>
              <w:rPr>
                <w:rFonts w:cs="Arial"/>
                <w:b/>
                <w:smallCaps/>
                <w:color w:val="000000"/>
                <w:u w:val="single"/>
              </w:rPr>
            </w:pPr>
            <w:r>
              <w:rPr>
                <w:rFonts w:cs="Arial"/>
                <w:b/>
                <w:smallCaps/>
                <w:color w:val="000000"/>
                <w:u w:val="single"/>
              </w:rPr>
            </w:r>
          </w:p>
          <w:p>
            <w:pPr>
              <w:pStyle w:val="Normal"/>
              <w:keepLines/>
              <w:tabs>
                <w:tab w:val="clear" w:pos="720"/>
                <w:tab w:val="left" w:pos="510" w:leader="none"/>
              </w:tabs>
              <w:ind w:start="150" w:end="0"/>
              <w:jc w:val="center"/>
              <w:rPr>
                <w:rFonts w:cs="Arial"/>
                <w:b/>
                <w:smallCaps/>
                <w:color w:val="000000"/>
                <w:u w:val="single"/>
              </w:rPr>
            </w:pPr>
            <w:r>
              <w:rPr>
                <w:rFonts w:cs="Arial"/>
                <w:b/>
                <w:smallCaps/>
                <w:color w:val="000000"/>
                <w:u w:val="single"/>
              </w:rPr>
            </w:r>
          </w:p>
          <w:p>
            <w:pPr>
              <w:pStyle w:val="Normal"/>
              <w:keepLines/>
              <w:tabs>
                <w:tab w:val="clear" w:pos="720"/>
                <w:tab w:val="left" w:pos="510" w:leader="none"/>
              </w:tabs>
              <w:ind w:start="150" w:end="0"/>
              <w:jc w:val="center"/>
              <w:rPr>
                <w:rFonts w:cs="Arial"/>
                <w:b/>
                <w:smallCaps/>
                <w:color w:val="000000"/>
                <w:u w:val="single"/>
              </w:rPr>
            </w:pPr>
            <w:r>
              <w:rPr>
                <w:rFonts w:cs="Arial"/>
                <w:b/>
                <w:smallCaps/>
                <w:color w:val="000000"/>
                <w:u w:val="single"/>
              </w:rPr>
              <w:t>ISO PGA Discourages Interconnected QF Operation</w:t>
            </w:r>
          </w:p>
          <w:p>
            <w:pPr>
              <w:pStyle w:val="Normal"/>
              <w:keepLines/>
              <w:tabs>
                <w:tab w:val="clear" w:pos="720"/>
                <w:tab w:val="left" w:pos="510" w:leader="none"/>
              </w:tabs>
              <w:ind w:start="150" w:end="0"/>
              <w:jc w:val="center"/>
              <w:rPr>
                <w:rFonts w:cs="Arial"/>
                <w:b/>
                <w:smallCaps/>
                <w:color w:val="000000"/>
                <w:u w:val="single"/>
              </w:rPr>
            </w:pPr>
            <w:r>
              <w:rPr>
                <w:rFonts w:cs="Arial"/>
                <w:b/>
                <w:smallCaps/>
                <w:color w:val="000000"/>
                <w:u w:val="single"/>
              </w:rPr>
            </w:r>
          </w:p>
          <w:p>
            <w:pPr>
              <w:pStyle w:val="Normal"/>
              <w:keepLines/>
              <w:tabs>
                <w:tab w:val="clear" w:pos="720"/>
                <w:tab w:val="left" w:pos="510" w:leader="none"/>
              </w:tabs>
              <w:ind w:start="150" w:end="0"/>
              <w:jc w:val="center"/>
              <w:rPr>
                <w:rFonts w:cs="Arial"/>
                <w:b/>
                <w:smallCaps/>
                <w:color w:val="000000"/>
                <w:u w:val="single"/>
              </w:rPr>
            </w:pPr>
            <w:r>
              <w:rPr>
                <w:rFonts w:cs="Arial"/>
                <w:b/>
                <w:smallCaps/>
                <w:color w:val="000000"/>
                <w:u w:val="single"/>
              </w:rPr>
            </w:r>
          </w:p>
        </w:tc>
      </w:tr>
      <w:tr>
        <w:trPr>
          <w:trHeight w:val="250" w:hRule="atLeast"/>
        </w:trPr>
        <w:tc>
          <w:tcPr>
            <w:tcW w:w="1080" w:type="dxa"/>
            <w:tcBorders>
              <w:top w:val="double" w:sz="4" w:space="0" w:color="000000"/>
              <w:start w:val="double" w:sz="4" w:space="0" w:color="000000"/>
            </w:tcBorders>
          </w:tcPr>
          <w:p>
            <w:pPr>
              <w:pStyle w:val="Normal"/>
              <w:keepLines/>
              <w:tabs>
                <w:tab w:val="clear" w:pos="720"/>
                <w:tab w:val="left" w:pos="510" w:leader="none"/>
              </w:tabs>
              <w:snapToGrid w:val="false"/>
              <w:ind w:start="150" w:end="0"/>
              <w:jc w:val="center"/>
              <w:rPr>
                <w:rFonts w:cs="Arial"/>
                <w:b/>
                <w:smallCaps/>
                <w:color w:val="000000"/>
                <w:sz w:val="22"/>
                <w:u w:val="single"/>
              </w:rPr>
            </w:pPr>
            <w:r>
              <w:rPr>
                <w:rFonts w:cs="Arial"/>
                <w:b/>
                <w:smallCaps/>
                <w:color w:val="000000"/>
                <w:sz w:val="22"/>
                <w:u w:val="single"/>
              </w:rPr>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r>
          </w:p>
          <w:p>
            <w:pPr>
              <w:pStyle w:val="Heading7"/>
              <w:rPr/>
            </w:pPr>
            <w:r>
              <w:rPr/>
              <w:t>Line</w:t>
            </w:r>
          </w:p>
        </w:tc>
        <w:tc>
          <w:tcPr>
            <w:tcW w:w="4860" w:type="dxa"/>
            <w:tcBorders>
              <w:top w:val="double" w:sz="4" w:space="0" w:color="000000"/>
            </w:tcBorders>
          </w:tcPr>
          <w:p>
            <w:pPr>
              <w:pStyle w:val="Normal"/>
              <w:keepLines/>
              <w:tabs>
                <w:tab w:val="clear" w:pos="720"/>
                <w:tab w:val="left" w:pos="510" w:leader="none"/>
              </w:tabs>
              <w:snapToGrid w:val="false"/>
              <w:ind w:start="150" w:end="0"/>
              <w:jc w:val="center"/>
              <w:rPr>
                <w:rFonts w:cs="Arial"/>
                <w:b/>
                <w:smallCaps/>
                <w:color w:val="000000"/>
                <w:sz w:val="22"/>
              </w:rPr>
            </w:pPr>
            <w:r>
              <w:rPr>
                <w:rFonts w:cs="Arial"/>
                <w:b/>
                <w:smallCaps/>
                <w:color w:val="000000"/>
                <w:sz w:val="22"/>
              </w:rPr>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r>
          </w:p>
          <w:p>
            <w:pPr>
              <w:pStyle w:val="Heading7"/>
              <w:rPr/>
            </w:pPr>
            <w:r>
              <w:rPr/>
              <w:t>Description</w:t>
            </w:r>
          </w:p>
        </w:tc>
        <w:tc>
          <w:tcPr>
            <w:tcW w:w="1530" w:type="dxa"/>
            <w:tcBorders>
              <w:top w:val="double" w:sz="4" w:space="0" w:color="000000"/>
            </w:tcBorders>
          </w:tcPr>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t>CPUC</w:t>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t>QF</w:t>
            </w:r>
          </w:p>
          <w:p>
            <w:pPr>
              <w:pStyle w:val="Heading8"/>
              <w:keepLines/>
              <w:tabs>
                <w:tab w:val="clear" w:pos="720"/>
                <w:tab w:val="left" w:pos="510" w:leader="none"/>
              </w:tabs>
              <w:ind w:hanging="0" w:start="150" w:end="0"/>
              <w:rPr>
                <w:rFonts w:cs="Arial"/>
                <w:smallCaps/>
                <w:sz w:val="22"/>
              </w:rPr>
            </w:pPr>
            <w:r>
              <w:rPr>
                <w:rFonts w:cs="Arial"/>
                <w:smallCaps/>
                <w:sz w:val="22"/>
                <w:u w:val="none"/>
              </w:rPr>
              <w:t>Contract</w:t>
            </w:r>
          </w:p>
          <w:p>
            <w:pPr>
              <w:pStyle w:val="Heading7"/>
              <w:rPr/>
            </w:pPr>
            <w:r>
              <w:rPr/>
              <w:t>Provisions</w:t>
            </w:r>
          </w:p>
        </w:tc>
        <w:tc>
          <w:tcPr>
            <w:tcW w:w="1440" w:type="dxa"/>
            <w:tcBorders>
              <w:top w:val="double" w:sz="4" w:space="0" w:color="000000"/>
            </w:tcBorders>
          </w:tcPr>
          <w:p>
            <w:pPr>
              <w:pStyle w:val="Normal"/>
              <w:keepLines/>
              <w:tabs>
                <w:tab w:val="clear" w:pos="720"/>
                <w:tab w:val="left" w:pos="510" w:leader="none"/>
              </w:tabs>
              <w:snapToGrid w:val="false"/>
              <w:ind w:start="150" w:end="0"/>
              <w:jc w:val="center"/>
              <w:rPr>
                <w:rFonts w:cs="Arial"/>
                <w:b/>
                <w:smallCaps/>
                <w:color w:val="000000"/>
                <w:sz w:val="22"/>
                <w:u w:val="single"/>
              </w:rPr>
            </w:pPr>
            <w:r>
              <w:rPr>
                <w:rFonts w:cs="Arial"/>
                <w:b/>
                <w:smallCaps/>
                <w:color w:val="000000"/>
                <w:sz w:val="22"/>
                <w:u w:val="single"/>
              </w:rPr>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t>ISO</w:t>
            </w:r>
          </w:p>
          <w:p>
            <w:pPr>
              <w:pStyle w:val="Normal"/>
              <w:keepLines/>
              <w:tabs>
                <w:tab w:val="clear" w:pos="720"/>
                <w:tab w:val="left" w:pos="510" w:leader="none"/>
              </w:tabs>
              <w:ind w:start="150" w:end="0"/>
              <w:jc w:val="center"/>
              <w:rPr>
                <w:rFonts w:cs="Arial"/>
                <w:b/>
                <w:smallCaps/>
                <w:color w:val="000000"/>
                <w:sz w:val="22"/>
                <w:u w:val="single"/>
              </w:rPr>
            </w:pPr>
            <w:r>
              <w:rPr>
                <w:rFonts w:cs="Arial"/>
                <w:b/>
                <w:smallCaps/>
                <w:color w:val="000000"/>
                <w:sz w:val="22"/>
              </w:rPr>
              <w:t>PGA</w:t>
            </w:r>
          </w:p>
          <w:p>
            <w:pPr>
              <w:pStyle w:val="Heading7"/>
              <w:rPr/>
            </w:pPr>
            <w:r>
              <w:rPr/>
              <w:t>Provisions</w:t>
            </w:r>
          </w:p>
        </w:tc>
        <w:tc>
          <w:tcPr>
            <w:tcW w:w="1170" w:type="dxa"/>
            <w:tcBorders>
              <w:top w:val="double" w:sz="4" w:space="0" w:color="000000"/>
              <w:end w:val="double" w:sz="4" w:space="0" w:color="000000"/>
            </w:tcBorders>
          </w:tcPr>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t>Amount</w:t>
            </w:r>
          </w:p>
          <w:p>
            <w:pPr>
              <w:pStyle w:val="Normal"/>
              <w:keepLines/>
              <w:tabs>
                <w:tab w:val="clear" w:pos="720"/>
                <w:tab w:val="left" w:pos="510" w:leader="none"/>
              </w:tabs>
              <w:ind w:start="150" w:end="0"/>
              <w:jc w:val="center"/>
              <w:rPr>
                <w:rFonts w:cs="Arial"/>
                <w:b/>
                <w:smallCaps/>
                <w:color w:val="000000"/>
                <w:sz w:val="22"/>
              </w:rPr>
            </w:pPr>
            <w:r>
              <w:rPr>
                <w:rFonts w:cs="Arial"/>
                <w:b/>
                <w:smallCaps/>
                <w:color w:val="000000"/>
                <w:sz w:val="22"/>
              </w:rPr>
              <w:t>ISO</w:t>
            </w:r>
          </w:p>
          <w:p>
            <w:pPr>
              <w:pStyle w:val="Normal"/>
              <w:keepLines/>
              <w:tabs>
                <w:tab w:val="clear" w:pos="720"/>
                <w:tab w:val="left" w:pos="510" w:leader="none"/>
              </w:tabs>
              <w:ind w:start="150" w:end="0"/>
              <w:jc w:val="center"/>
              <w:rPr>
                <w:rFonts w:cs="Arial"/>
                <w:b/>
                <w:smallCaps/>
                <w:color w:val="000000"/>
                <w:sz w:val="22"/>
                <w:u w:val="single"/>
              </w:rPr>
            </w:pPr>
            <w:r>
              <w:rPr>
                <w:rFonts w:cs="Arial"/>
                <w:b/>
                <w:smallCaps/>
                <w:color w:val="000000"/>
                <w:sz w:val="22"/>
              </w:rPr>
              <w:t>Exceeds</w:t>
            </w:r>
          </w:p>
          <w:p>
            <w:pPr>
              <w:pStyle w:val="Heading7"/>
              <w:rPr/>
            </w:pPr>
            <w:r>
              <w:rPr/>
              <w:t>CPUC</w:t>
            </w:r>
          </w:p>
        </w:tc>
      </w:tr>
      <w:tr>
        <w:trPr>
          <w:trHeight w:val="250" w:hRule="atLeast"/>
        </w:trPr>
        <w:tc>
          <w:tcPr>
            <w:tcW w:w="1080" w:type="dxa"/>
            <w:tcBorders>
              <w:start w:val="double" w:sz="4" w:space="0" w:color="000000"/>
            </w:tcBorders>
          </w:tcPr>
          <w:p>
            <w:pPr>
              <w:pStyle w:val="Normal"/>
              <w:keepLines/>
              <w:tabs>
                <w:tab w:val="clear" w:pos="720"/>
                <w:tab w:val="left" w:pos="510" w:leader="none"/>
              </w:tabs>
              <w:snapToGrid w:val="false"/>
              <w:ind w:start="150" w:end="0"/>
              <w:jc w:val="end"/>
              <w:rPr>
                <w:rFonts w:cs="Arial"/>
                <w:b/>
                <w:smallCaps/>
                <w:color w:val="000000"/>
                <w:sz w:val="22"/>
                <w:u w:val="single"/>
              </w:rPr>
            </w:pPr>
            <w:r>
              <w:rPr>
                <w:rFonts w:cs="Arial"/>
                <w:b/>
                <w:smallCaps/>
                <w:color w:val="000000"/>
                <w:sz w:val="22"/>
                <w:u w:val="single"/>
              </w:rPr>
            </w:r>
          </w:p>
        </w:tc>
        <w:tc>
          <w:tcPr>
            <w:tcW w:w="486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530" w:type="dxa"/>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(1)</w:t>
            </w:r>
          </w:p>
        </w:tc>
        <w:tc>
          <w:tcPr>
            <w:tcW w:w="1440" w:type="dxa"/>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(2)</w:t>
            </w:r>
          </w:p>
        </w:tc>
        <w:tc>
          <w:tcPr>
            <w:tcW w:w="1170" w:type="dxa"/>
            <w:tcBorders>
              <w:end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(3)</w:t>
            </w:r>
          </w:p>
        </w:tc>
      </w:tr>
      <w:tr>
        <w:trPr>
          <w:trHeight w:val="250" w:hRule="atLeast"/>
        </w:trPr>
        <w:tc>
          <w:tcPr>
            <w:tcW w:w="1080" w:type="dxa"/>
            <w:tcBorders>
              <w:start w:val="double" w:sz="4" w:space="0" w:color="000000"/>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4860" w:type="dxa"/>
            <w:tcBorders/>
          </w:tcPr>
          <w:p>
            <w:pPr>
              <w:pStyle w:val="Heading9"/>
              <w:keepLines/>
              <w:tabs>
                <w:tab w:val="clear" w:pos="720"/>
                <w:tab w:val="left" w:pos="510" w:leader="none"/>
              </w:tabs>
              <w:ind w:hanging="0" w:start="150" w:end="0"/>
              <w:rPr>
                <w:rFonts w:cs="Arial"/>
                <w:u w:val="none"/>
              </w:rPr>
            </w:pPr>
            <w:r>
              <w:rPr>
                <w:rFonts w:cs="Arial"/>
                <w:u w:val="none"/>
              </w:rPr>
              <w:t>Income From Energy Sales</w:t>
            </w:r>
          </w:p>
        </w:tc>
        <w:tc>
          <w:tcPr>
            <w:tcW w:w="1530" w:type="dxa"/>
            <w:tcBorders/>
          </w:tcPr>
          <w:p>
            <w:pPr>
              <w:pStyle w:val="Normal"/>
              <w:keepLines/>
              <w:tabs>
                <w:tab w:val="clear" w:pos="720"/>
                <w:tab w:val="left" w:pos="510" w:leader="none"/>
              </w:tabs>
              <w:snapToGrid w:val="false"/>
              <w:ind w:start="150" w:end="0"/>
              <w:jc w:val="end"/>
              <w:rPr>
                <w:rFonts w:cs="Arial"/>
                <w:color w:val="000000"/>
                <w:sz w:val="22"/>
                <w:u w:val="none"/>
              </w:rPr>
            </w:pPr>
            <w:r>
              <w:rPr>
                <w:rFonts w:cs="Arial"/>
                <w:color w:val="000000"/>
                <w:sz w:val="22"/>
                <w:u w:val="none"/>
              </w:rPr>
            </w:r>
          </w:p>
        </w:tc>
        <w:tc>
          <w:tcPr>
            <w:tcW w:w="144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170" w:type="dxa"/>
            <w:tcBorders>
              <w:end w:val="double" w:sz="4" w:space="0" w:color="000000"/>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1</w:t>
            </w:r>
          </w:p>
        </w:tc>
        <w:tc>
          <w:tcPr>
            <w:tcW w:w="4860" w:type="dxa"/>
            <w:tcBorders/>
          </w:tcPr>
          <w:p>
            <w:pPr>
              <w:pStyle w:val="Normal"/>
              <w:keepLines/>
              <w:tabs>
                <w:tab w:val="clear" w:pos="720"/>
                <w:tab w:val="left" w:pos="510" w:leader="none"/>
              </w:tabs>
              <w:ind w:start="150" w:end="0"/>
              <w:rPr>
                <w:rFonts w:cs="Arial"/>
                <w:b/>
                <w:i/>
                <w:i/>
                <w:iCs/>
                <w:color w:val="000000"/>
                <w:sz w:val="22"/>
              </w:rPr>
            </w:pPr>
            <w:r>
              <w:rPr>
                <w:rFonts w:cs="Arial"/>
                <w:b/>
                <w:i/>
                <w:iCs/>
                <w:color w:val="000000"/>
                <w:sz w:val="22"/>
              </w:rPr>
              <w:t>Sales to the CAPX</w:t>
            </w:r>
          </w:p>
          <w:p>
            <w:pPr>
              <w:pStyle w:val="Normal"/>
              <w:keepLines/>
              <w:tabs>
                <w:tab w:val="clear" w:pos="720"/>
                <w:tab w:val="left" w:pos="510" w:leader="none"/>
              </w:tabs>
              <w:rPr>
                <w:rFonts w:cs="Arial"/>
                <w:b/>
                <w:i/>
                <w:i/>
                <w:iCs/>
                <w:color w:val="000000"/>
                <w:sz w:val="22"/>
              </w:rPr>
            </w:pPr>
            <w:r>
              <w:rPr>
                <w:rFonts w:eastAsia="Arial" w:cs="Arial"/>
                <w:b/>
                <w:i/>
                <w:iCs/>
                <w:color w:val="000000"/>
                <w:sz w:val="22"/>
              </w:rPr>
              <w:t xml:space="preserve"> </w:t>
            </w:r>
            <w:r>
              <w:rPr>
                <w:rFonts w:cs="Arial"/>
                <w:b/>
                <w:i/>
                <w:iCs/>
                <w:color w:val="000000"/>
                <w:sz w:val="22"/>
              </w:rPr>
              <w:t>( assume 66,000 MWh @ $8.77/MWh Margin)</w:t>
            </w:r>
          </w:p>
        </w:tc>
        <w:tc>
          <w:tcPr>
            <w:tcW w:w="153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$578,820</w:t>
            </w:r>
          </w:p>
        </w:tc>
        <w:tc>
          <w:tcPr>
            <w:tcW w:w="144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$578,820</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$0</w:t>
            </w:r>
          </w:p>
        </w:tc>
      </w:tr>
      <w:tr>
        <w:trPr>
          <w:trHeight w:val="250" w:hRule="atLeast"/>
        </w:trPr>
        <w:tc>
          <w:tcPr>
            <w:tcW w:w="1080" w:type="dxa"/>
            <w:tcBorders>
              <w:start w:val="double" w:sz="4" w:space="0" w:color="000000"/>
            </w:tcBorders>
          </w:tcPr>
          <w:p>
            <w:pPr>
              <w:pStyle w:val="Normal"/>
              <w:keepLines/>
              <w:tabs>
                <w:tab w:val="clear" w:pos="720"/>
                <w:tab w:val="left" w:pos="510" w:leader="none"/>
              </w:tabs>
              <w:snapToGrid w:val="false"/>
              <w:ind w:start="150" w:end="0"/>
              <w:jc w:val="center"/>
              <w:rPr>
                <w:rFonts w:cs="Arial"/>
                <w:color w:val="000000"/>
                <w:sz w:val="22"/>
              </w:rPr>
            </w:pPr>
            <w:r>
              <w:rPr>
                <w:rFonts w:cs="Arial"/>
                <w:color w:val="000000"/>
                <w:sz w:val="22"/>
              </w:rPr>
            </w:r>
          </w:p>
        </w:tc>
        <w:tc>
          <w:tcPr>
            <w:tcW w:w="4860" w:type="dxa"/>
            <w:tcBorders/>
          </w:tcPr>
          <w:p>
            <w:pPr>
              <w:pStyle w:val="Normal"/>
              <w:keepLines/>
              <w:tabs>
                <w:tab w:val="clear" w:pos="720"/>
                <w:tab w:val="left" w:pos="510" w:leader="none"/>
              </w:tabs>
              <w:snapToGrid w:val="false"/>
              <w:ind w:start="150" w:end="0"/>
              <w:rPr>
                <w:rFonts w:cs="Arial"/>
                <w:b/>
                <w:color w:val="000000"/>
                <w:sz w:val="22"/>
              </w:rPr>
            </w:pPr>
            <w:r>
              <w:rPr>
                <w:rFonts w:cs="Arial"/>
                <w:b/>
                <w:color w:val="000000"/>
                <w:sz w:val="22"/>
              </w:rPr>
            </w:r>
          </w:p>
          <w:p>
            <w:pPr>
              <w:pStyle w:val="Normal"/>
              <w:keepLines/>
              <w:tabs>
                <w:tab w:val="clear" w:pos="720"/>
                <w:tab w:val="left" w:pos="510" w:leader="none"/>
              </w:tabs>
              <w:ind w:start="150" w:end="0"/>
              <w:rPr>
                <w:rFonts w:cs="Arial"/>
                <w:b/>
                <w:color w:val="000000"/>
                <w:sz w:val="22"/>
                <w:u w:val="single"/>
              </w:rPr>
            </w:pPr>
            <w:r>
              <w:rPr>
                <w:rFonts w:cs="Arial"/>
                <w:b/>
                <w:color w:val="000000"/>
                <w:sz w:val="22"/>
              </w:rPr>
              <w:t>Grid Charges</w:t>
            </w:r>
          </w:p>
        </w:tc>
        <w:tc>
          <w:tcPr>
            <w:tcW w:w="1530" w:type="dxa"/>
            <w:tcBorders/>
          </w:tcPr>
          <w:p>
            <w:pPr>
              <w:pStyle w:val="Normal"/>
              <w:keepLines/>
              <w:tabs>
                <w:tab w:val="clear" w:pos="720"/>
                <w:tab w:val="left" w:pos="510" w:leader="none"/>
              </w:tabs>
              <w:snapToGrid w:val="false"/>
              <w:ind w:start="150" w:end="0"/>
              <w:jc w:val="end"/>
              <w:rPr>
                <w:rFonts w:cs="Arial"/>
                <w:b/>
                <w:color w:val="000000"/>
                <w:sz w:val="22"/>
                <w:u w:val="single"/>
              </w:rPr>
            </w:pPr>
            <w:r>
              <w:rPr>
                <w:rFonts w:cs="Arial"/>
                <w:b/>
                <w:color w:val="000000"/>
                <w:sz w:val="22"/>
                <w:u w:val="single"/>
              </w:rPr>
            </w:r>
          </w:p>
        </w:tc>
        <w:tc>
          <w:tcPr>
            <w:tcW w:w="144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170" w:type="dxa"/>
            <w:tcBorders>
              <w:end w:val="double" w:sz="4" w:space="0" w:color="000000"/>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2</w:t>
            </w:r>
          </w:p>
        </w:tc>
        <w:tc>
          <w:tcPr>
            <w:tcW w:w="4860" w:type="dxa"/>
            <w:tcBorders/>
          </w:tcPr>
          <w:p>
            <w:pPr>
              <w:pStyle w:val="Normal"/>
              <w:keepLines/>
              <w:tabs>
                <w:tab w:val="clear" w:pos="720"/>
                <w:tab w:val="left" w:pos="510" w:leader="none"/>
              </w:tabs>
              <w:ind w:start="150" w:end="0"/>
              <w:rPr>
                <w:rFonts w:cs="Arial"/>
                <w:b/>
                <w:i/>
                <w:i/>
                <w:color w:val="000000"/>
                <w:sz w:val="22"/>
              </w:rPr>
            </w:pPr>
            <w:r>
              <w:rPr>
                <w:rFonts w:cs="Arial"/>
                <w:b/>
                <w:i/>
                <w:color w:val="000000"/>
                <w:sz w:val="22"/>
              </w:rPr>
              <w:t xml:space="preserve">PX Scheduling </w:t>
            </w:r>
          </w:p>
        </w:tc>
        <w:tc>
          <w:tcPr>
            <w:tcW w:w="153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3,758</w:t>
            </w:r>
          </w:p>
        </w:tc>
        <w:tc>
          <w:tcPr>
            <w:tcW w:w="144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93,942</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90,185</w:t>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3</w:t>
            </w:r>
          </w:p>
        </w:tc>
        <w:tc>
          <w:tcPr>
            <w:tcW w:w="4860" w:type="dxa"/>
            <w:tcBorders/>
          </w:tcPr>
          <w:p>
            <w:pPr>
              <w:pStyle w:val="Normal"/>
              <w:keepLines/>
              <w:tabs>
                <w:tab w:val="clear" w:pos="720"/>
                <w:tab w:val="left" w:pos="510" w:leader="none"/>
              </w:tabs>
              <w:ind w:start="150" w:end="0"/>
              <w:rPr>
                <w:rFonts w:cs="Arial"/>
                <w:b/>
                <w:i/>
                <w:i/>
                <w:color w:val="000000"/>
                <w:sz w:val="22"/>
              </w:rPr>
            </w:pPr>
            <w:r>
              <w:rPr>
                <w:rFonts w:cs="Arial"/>
                <w:b/>
                <w:i/>
                <w:color w:val="000000"/>
                <w:sz w:val="22"/>
              </w:rPr>
              <w:t>Grid Management Charge</w:t>
            </w:r>
          </w:p>
        </w:tc>
        <w:tc>
          <w:tcPr>
            <w:tcW w:w="1530" w:type="dxa"/>
            <w:tcBorders/>
          </w:tcPr>
          <w:p>
            <w:pPr>
              <w:pStyle w:val="Normal"/>
              <w:keepLines/>
              <w:tabs>
                <w:tab w:val="clear" w:pos="720"/>
                <w:tab w:val="left" w:pos="510" w:leader="none"/>
              </w:tabs>
              <w:ind w:start="-7230" w:end="0"/>
              <w:jc w:val="end"/>
              <w:rPr>
                <w:rFonts w:cs="Arial"/>
                <w:color w:val="000000"/>
                <w:sz w:val="22"/>
              </w:rPr>
            </w:pPr>
            <w:r>
              <w:rPr>
                <w:rFonts w:cs="Arial"/>
                <w:color w:val="000000"/>
                <w:sz w:val="22"/>
              </w:rPr>
              <w:t>10,179</w:t>
            </w:r>
          </w:p>
        </w:tc>
        <w:tc>
          <w:tcPr>
            <w:tcW w:w="144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148,411</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138,232</w:t>
            </w:r>
          </w:p>
        </w:tc>
      </w:tr>
      <w:tr>
        <w:trPr>
          <w:trHeight w:val="250" w:hRule="atLeast"/>
        </w:trPr>
        <w:tc>
          <w:tcPr>
            <w:tcW w:w="1080" w:type="dxa"/>
            <w:tcBorders>
              <w:start w:val="double" w:sz="4" w:space="0" w:color="000000"/>
            </w:tcBorders>
          </w:tcPr>
          <w:p>
            <w:pPr>
              <w:pStyle w:val="Normal"/>
              <w:keepLines/>
              <w:tabs>
                <w:tab w:val="clear" w:pos="720"/>
                <w:tab w:val="left" w:pos="510" w:leader="none"/>
              </w:tabs>
              <w:snapToGrid w:val="false"/>
              <w:ind w:start="150" w:end="0"/>
              <w:jc w:val="center"/>
              <w:rPr>
                <w:rFonts w:cs="Arial"/>
                <w:color w:val="000000"/>
                <w:sz w:val="22"/>
              </w:rPr>
            </w:pPr>
            <w:r>
              <w:rPr>
                <w:rFonts w:cs="Arial"/>
                <w:color w:val="000000"/>
                <w:sz w:val="22"/>
              </w:rPr>
            </w:r>
          </w:p>
        </w:tc>
        <w:tc>
          <w:tcPr>
            <w:tcW w:w="4860" w:type="dxa"/>
            <w:tcBorders/>
          </w:tcPr>
          <w:p>
            <w:pPr>
              <w:pStyle w:val="Normal"/>
              <w:keepLines/>
              <w:tabs>
                <w:tab w:val="clear" w:pos="720"/>
                <w:tab w:val="left" w:pos="510" w:leader="none"/>
              </w:tabs>
              <w:snapToGrid w:val="false"/>
              <w:ind w:start="150" w:end="0"/>
              <w:rPr>
                <w:rFonts w:cs="Arial"/>
                <w:b/>
                <w:color w:val="000000"/>
                <w:sz w:val="22"/>
              </w:rPr>
            </w:pPr>
            <w:r>
              <w:rPr>
                <w:rFonts w:cs="Arial"/>
                <w:b/>
                <w:color w:val="000000"/>
                <w:sz w:val="22"/>
              </w:rPr>
            </w:r>
          </w:p>
          <w:p>
            <w:pPr>
              <w:pStyle w:val="Normal"/>
              <w:keepLines/>
              <w:tabs>
                <w:tab w:val="clear" w:pos="720"/>
                <w:tab w:val="left" w:pos="510" w:leader="none"/>
              </w:tabs>
              <w:ind w:start="150" w:end="0"/>
              <w:rPr>
                <w:rFonts w:cs="Arial"/>
                <w:b/>
                <w:color w:val="000000"/>
                <w:sz w:val="22"/>
                <w:u w:val="single"/>
              </w:rPr>
            </w:pPr>
            <w:r>
              <w:rPr>
                <w:rFonts w:cs="Arial"/>
                <w:b/>
                <w:color w:val="000000"/>
                <w:sz w:val="22"/>
              </w:rPr>
              <w:t>Transmission Charges</w:t>
            </w:r>
          </w:p>
        </w:tc>
        <w:tc>
          <w:tcPr>
            <w:tcW w:w="1530" w:type="dxa"/>
            <w:tcBorders/>
          </w:tcPr>
          <w:p>
            <w:pPr>
              <w:pStyle w:val="Normal"/>
              <w:keepLines/>
              <w:tabs>
                <w:tab w:val="clear" w:pos="720"/>
                <w:tab w:val="left" w:pos="510" w:leader="none"/>
              </w:tabs>
              <w:snapToGrid w:val="false"/>
              <w:ind w:start="150" w:end="0"/>
              <w:jc w:val="end"/>
              <w:rPr>
                <w:rFonts w:cs="Arial"/>
                <w:b/>
                <w:color w:val="000000"/>
                <w:sz w:val="22"/>
                <w:u w:val="single"/>
              </w:rPr>
            </w:pPr>
            <w:r>
              <w:rPr>
                <w:rFonts w:cs="Arial"/>
                <w:b/>
                <w:color w:val="000000"/>
                <w:sz w:val="22"/>
                <w:u w:val="single"/>
              </w:rPr>
            </w:r>
          </w:p>
        </w:tc>
        <w:tc>
          <w:tcPr>
            <w:tcW w:w="144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170" w:type="dxa"/>
            <w:tcBorders>
              <w:end w:val="double" w:sz="4" w:space="0" w:color="000000"/>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4</w:t>
            </w:r>
          </w:p>
        </w:tc>
        <w:tc>
          <w:tcPr>
            <w:tcW w:w="4860" w:type="dxa"/>
            <w:tcBorders/>
          </w:tcPr>
          <w:p>
            <w:pPr>
              <w:pStyle w:val="Normal"/>
              <w:keepLines/>
              <w:tabs>
                <w:tab w:val="clear" w:pos="720"/>
                <w:tab w:val="left" w:pos="510" w:leader="none"/>
              </w:tabs>
              <w:ind w:start="150" w:end="0"/>
              <w:rPr>
                <w:rFonts w:cs="Arial"/>
                <w:b/>
                <w:i/>
                <w:i/>
                <w:color w:val="000000"/>
                <w:sz w:val="22"/>
              </w:rPr>
            </w:pPr>
            <w:r>
              <w:rPr>
                <w:rFonts w:cs="Arial"/>
                <w:b/>
                <w:i/>
                <w:color w:val="000000"/>
                <w:sz w:val="22"/>
              </w:rPr>
              <w:t>Transmission Asset Charge</w:t>
            </w:r>
          </w:p>
        </w:tc>
        <w:tc>
          <w:tcPr>
            <w:tcW w:w="153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496,172</w:t>
            </w:r>
          </w:p>
        </w:tc>
        <w:tc>
          <w:tcPr>
            <w:tcW w:w="144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735,840</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239,668</w:t>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5</w:t>
            </w:r>
          </w:p>
        </w:tc>
        <w:tc>
          <w:tcPr>
            <w:tcW w:w="4860" w:type="dxa"/>
            <w:tcBorders/>
          </w:tcPr>
          <w:p>
            <w:pPr>
              <w:pStyle w:val="Normal"/>
              <w:keepLines/>
              <w:tabs>
                <w:tab w:val="clear" w:pos="720"/>
                <w:tab w:val="left" w:pos="510" w:leader="none"/>
              </w:tabs>
              <w:ind w:start="150" w:end="0"/>
              <w:rPr>
                <w:rFonts w:cs="Arial"/>
                <w:b/>
                <w:i/>
                <w:i/>
                <w:color w:val="000000"/>
                <w:sz w:val="22"/>
              </w:rPr>
            </w:pPr>
            <w:r>
              <w:rPr>
                <w:rFonts w:cs="Arial"/>
                <w:b/>
                <w:i/>
                <w:color w:val="000000"/>
                <w:sz w:val="22"/>
              </w:rPr>
              <w:t>Ancillary Services @ 5% of Avg. PX Energy Price</w:t>
            </w:r>
          </w:p>
        </w:tc>
        <w:tc>
          <w:tcPr>
            <w:tcW w:w="153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16,557</w:t>
            </w:r>
          </w:p>
        </w:tc>
        <w:tc>
          <w:tcPr>
            <w:tcW w:w="1440" w:type="dxa"/>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413,914</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397,358</w:t>
            </w:r>
          </w:p>
        </w:tc>
      </w:tr>
      <w:tr>
        <w:trPr>
          <w:trHeight w:val="250" w:hRule="atLeast"/>
        </w:trPr>
        <w:tc>
          <w:tcPr>
            <w:tcW w:w="1080" w:type="dxa"/>
            <w:tcBorders>
              <w:start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6</w:t>
            </w:r>
          </w:p>
        </w:tc>
        <w:tc>
          <w:tcPr>
            <w:tcW w:w="4860" w:type="dxa"/>
            <w:tcBorders/>
          </w:tcPr>
          <w:p>
            <w:pPr>
              <w:pStyle w:val="Heading1"/>
              <w:rPr>
                <w:u w:val="none"/>
              </w:rPr>
            </w:pPr>
            <w:r>
              <w:rPr>
                <w:u w:val="none"/>
              </w:rPr>
              <w:t>Total Grid and Transmission Charges</w:t>
            </w:r>
          </w:p>
        </w:tc>
        <w:tc>
          <w:tcPr>
            <w:tcW w:w="1530" w:type="dxa"/>
            <w:tcBorders/>
          </w:tcPr>
          <w:p>
            <w:pPr>
              <w:pStyle w:val="Normal"/>
              <w:keepLines/>
              <w:tabs>
                <w:tab w:val="clear" w:pos="720"/>
                <w:tab w:val="left" w:pos="510" w:leader="none"/>
              </w:tabs>
              <w:ind w:start="150" w:end="0"/>
              <w:jc w:val="end"/>
              <w:rPr>
                <w:rFonts w:cs="Arial"/>
                <w:b/>
                <w:bCs/>
                <w:color w:val="000000"/>
                <w:sz w:val="22"/>
              </w:rPr>
            </w:pPr>
            <w:r>
              <w:rPr>
                <w:rFonts w:cs="Arial"/>
                <w:b/>
                <w:bCs/>
                <w:color w:val="000000"/>
                <w:sz w:val="22"/>
              </w:rPr>
              <w:t>526,665</w:t>
            </w:r>
          </w:p>
        </w:tc>
        <w:tc>
          <w:tcPr>
            <w:tcW w:w="1440" w:type="dxa"/>
            <w:tcBorders/>
          </w:tcPr>
          <w:p>
            <w:pPr>
              <w:pStyle w:val="Normal"/>
              <w:keepLines/>
              <w:tabs>
                <w:tab w:val="clear" w:pos="720"/>
                <w:tab w:val="left" w:pos="510" w:leader="none"/>
              </w:tabs>
              <w:ind w:start="150" w:end="0"/>
              <w:jc w:val="end"/>
              <w:rPr>
                <w:rFonts w:cs="Arial"/>
                <w:b/>
                <w:bCs/>
                <w:color w:val="000000"/>
                <w:sz w:val="22"/>
              </w:rPr>
            </w:pPr>
            <w:r>
              <w:rPr>
                <w:rFonts w:cs="Arial"/>
                <w:b/>
                <w:bCs/>
                <w:color w:val="000000"/>
                <w:sz w:val="22"/>
              </w:rPr>
              <w:t>1,392,108</w:t>
            </w:r>
          </w:p>
        </w:tc>
        <w:tc>
          <w:tcPr>
            <w:tcW w:w="1170" w:type="dxa"/>
            <w:tcBorders>
              <w:end w:val="double" w:sz="4" w:space="0" w:color="000000"/>
            </w:tcBorders>
          </w:tcPr>
          <w:p>
            <w:pPr>
              <w:pStyle w:val="Normal"/>
              <w:keepLines/>
              <w:tabs>
                <w:tab w:val="clear" w:pos="720"/>
                <w:tab w:val="left" w:pos="510" w:leader="none"/>
              </w:tabs>
              <w:ind w:start="150" w:end="0"/>
              <w:jc w:val="end"/>
              <w:rPr>
                <w:rFonts w:cs="Arial"/>
                <w:color w:val="000000"/>
                <w:sz w:val="22"/>
              </w:rPr>
            </w:pPr>
            <w:r>
              <w:rPr>
                <w:rFonts w:cs="Arial"/>
                <w:color w:val="000000"/>
                <w:sz w:val="22"/>
              </w:rPr>
              <w:t>865,442</w:t>
            </w:r>
          </w:p>
        </w:tc>
      </w:tr>
      <w:tr>
        <w:trPr>
          <w:trHeight w:val="250" w:hRule="atLeast"/>
        </w:trPr>
        <w:tc>
          <w:tcPr>
            <w:tcW w:w="1080" w:type="dxa"/>
            <w:tcBorders>
              <w:start w:val="double" w:sz="4" w:space="0" w:color="000000"/>
            </w:tcBorders>
          </w:tcPr>
          <w:p>
            <w:pPr>
              <w:pStyle w:val="Normal"/>
              <w:keepLines/>
              <w:tabs>
                <w:tab w:val="clear" w:pos="720"/>
                <w:tab w:val="left" w:pos="510" w:leader="none"/>
              </w:tabs>
              <w:snapToGrid w:val="false"/>
              <w:ind w:start="150" w:end="0"/>
              <w:jc w:val="center"/>
              <w:rPr>
                <w:rFonts w:cs="Arial"/>
                <w:color w:val="000000"/>
                <w:sz w:val="22"/>
              </w:rPr>
            </w:pPr>
            <w:r>
              <w:rPr>
                <w:rFonts w:cs="Arial"/>
                <w:color w:val="000000"/>
                <w:sz w:val="22"/>
              </w:rPr>
            </w:r>
          </w:p>
        </w:tc>
        <w:tc>
          <w:tcPr>
            <w:tcW w:w="486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53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440" w:type="dxa"/>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c>
          <w:tcPr>
            <w:tcW w:w="1170" w:type="dxa"/>
            <w:tcBorders>
              <w:end w:val="double" w:sz="4" w:space="0" w:color="000000"/>
            </w:tcBorders>
          </w:tcPr>
          <w:p>
            <w:pPr>
              <w:pStyle w:val="Normal"/>
              <w:keepLines/>
              <w:tabs>
                <w:tab w:val="clear" w:pos="720"/>
                <w:tab w:val="left" w:pos="510" w:leader="none"/>
              </w:tabs>
              <w:snapToGrid w:val="false"/>
              <w:ind w:start="150" w:end="0"/>
              <w:jc w:val="end"/>
              <w:rPr>
                <w:rFonts w:cs="Arial"/>
                <w:color w:val="000000"/>
                <w:sz w:val="22"/>
              </w:rPr>
            </w:pPr>
            <w:r>
              <w:rPr>
                <w:rFonts w:cs="Arial"/>
                <w:color w:val="000000"/>
                <w:sz w:val="22"/>
              </w:rPr>
            </w:r>
          </w:p>
        </w:tc>
      </w:tr>
      <w:tr>
        <w:trPr>
          <w:trHeight w:val="250" w:hRule="atLeast"/>
        </w:trPr>
        <w:tc>
          <w:tcPr>
            <w:tcW w:w="1080" w:type="dxa"/>
            <w:tcBorders>
              <w:start w:val="double" w:sz="4" w:space="0" w:color="000000"/>
              <w:bottom w:val="double" w:sz="4" w:space="0" w:color="000000"/>
            </w:tcBorders>
          </w:tcPr>
          <w:p>
            <w:pPr>
              <w:pStyle w:val="Normal"/>
              <w:keepLines/>
              <w:tabs>
                <w:tab w:val="clear" w:pos="720"/>
                <w:tab w:val="left" w:pos="510" w:leader="none"/>
              </w:tabs>
              <w:ind w:start="150" w:end="0"/>
              <w:jc w:val="center"/>
              <w:rPr>
                <w:rFonts w:cs="Arial"/>
                <w:color w:val="000000"/>
                <w:sz w:val="22"/>
              </w:rPr>
            </w:pPr>
            <w:r>
              <w:rPr>
                <w:rFonts w:cs="Arial"/>
                <w:color w:val="000000"/>
                <w:sz w:val="22"/>
              </w:rPr>
              <w:t>7</w:t>
            </w:r>
          </w:p>
        </w:tc>
        <w:tc>
          <w:tcPr>
            <w:tcW w:w="4860" w:type="dxa"/>
            <w:tcBorders>
              <w:bottom w:val="double" w:sz="4" w:space="0" w:color="000000"/>
            </w:tcBorders>
          </w:tcPr>
          <w:p>
            <w:pPr>
              <w:pStyle w:val="Normal"/>
              <w:keepLines/>
              <w:tabs>
                <w:tab w:val="clear" w:pos="720"/>
                <w:tab w:val="left" w:pos="510" w:leader="none"/>
              </w:tabs>
              <w:ind w:start="150" w:end="0"/>
              <w:rPr>
                <w:rFonts w:cs="Arial"/>
                <w:b/>
                <w:color w:val="000000"/>
                <w:sz w:val="22"/>
              </w:rPr>
            </w:pPr>
            <w:r>
              <w:rPr>
                <w:rFonts w:cs="Arial"/>
                <w:b/>
                <w:color w:val="000000"/>
                <w:sz w:val="22"/>
              </w:rPr>
              <w:t>Benefit (Cost) of Interconnected Operation</w:t>
            </w:r>
          </w:p>
        </w:tc>
        <w:tc>
          <w:tcPr>
            <w:tcW w:w="1530" w:type="dxa"/>
            <w:tcBorders>
              <w:bottom w:val="double" w:sz="4" w:space="0" w:color="000000"/>
            </w:tcBorders>
          </w:tcPr>
          <w:p>
            <w:pPr>
              <w:pStyle w:val="Normal"/>
              <w:keepLines/>
              <w:tabs>
                <w:tab w:val="clear" w:pos="720"/>
                <w:tab w:val="left" w:pos="510" w:leader="none"/>
              </w:tabs>
              <w:ind w:start="150" w:end="0"/>
              <w:jc w:val="end"/>
              <w:rPr>
                <w:rFonts w:cs="Arial"/>
                <w:b/>
                <w:bCs/>
                <w:color w:val="000000"/>
                <w:sz w:val="22"/>
              </w:rPr>
            </w:pPr>
            <w:r>
              <w:rPr>
                <w:rFonts w:cs="Arial"/>
                <w:b/>
                <w:bCs/>
                <w:color w:val="000000"/>
                <w:sz w:val="22"/>
              </w:rPr>
              <w:t>52,155</w:t>
            </w:r>
          </w:p>
        </w:tc>
        <w:tc>
          <w:tcPr>
            <w:tcW w:w="1440" w:type="dxa"/>
            <w:tcBorders>
              <w:bottom w:val="double" w:sz="4" w:space="0" w:color="000000"/>
            </w:tcBorders>
          </w:tcPr>
          <w:p>
            <w:pPr>
              <w:pStyle w:val="Normal"/>
              <w:keepLines/>
              <w:tabs>
                <w:tab w:val="clear" w:pos="720"/>
                <w:tab w:val="left" w:pos="510" w:leader="none"/>
              </w:tabs>
              <w:ind w:start="150" w:end="0"/>
              <w:jc w:val="end"/>
              <w:rPr>
                <w:rFonts w:cs="Arial"/>
                <w:b/>
                <w:bCs/>
                <w:color w:val="000000"/>
                <w:sz w:val="22"/>
              </w:rPr>
            </w:pPr>
            <w:r>
              <w:rPr>
                <w:rFonts w:cs="Arial"/>
                <w:b/>
                <w:bCs/>
                <w:color w:val="000000"/>
                <w:sz w:val="22"/>
              </w:rPr>
              <w:t>-813,288</w:t>
            </w:r>
          </w:p>
        </w:tc>
        <w:tc>
          <w:tcPr>
            <w:tcW w:w="1170" w:type="dxa"/>
            <w:tcBorders>
              <w:bottom w:val="double" w:sz="4" w:space="0" w:color="000000"/>
              <w:end w:val="double" w:sz="4" w:space="0" w:color="000000"/>
            </w:tcBorders>
          </w:tcPr>
          <w:p>
            <w:pPr>
              <w:pStyle w:val="Normal"/>
              <w:keepLines/>
              <w:tabs>
                <w:tab w:val="clear" w:pos="720"/>
                <w:tab w:val="left" w:pos="510" w:leader="none"/>
              </w:tabs>
              <w:snapToGrid w:val="false"/>
              <w:ind w:start="150" w:end="0"/>
              <w:jc w:val="end"/>
              <w:rPr>
                <w:rFonts w:cs="Arial"/>
                <w:b/>
                <w:bCs/>
                <w:color w:val="000000"/>
                <w:sz w:val="22"/>
              </w:rPr>
            </w:pPr>
            <w:r>
              <w:rPr>
                <w:rFonts w:cs="Arial"/>
                <w:b/>
                <w:bCs/>
                <w:color w:val="000000"/>
                <w:sz w:val="22"/>
              </w:rPr>
            </w:r>
          </w:p>
        </w:tc>
      </w:tr>
    </w:tbl>
    <w:p>
      <w:pPr>
        <w:pStyle w:val="BodyTextIn"/>
        <w:widowControl/>
        <w:autoSpaceDE w:val="true"/>
        <w:ind w:hanging="0" w:end="0"/>
        <w:rPr>
          <w:rFonts w:cs="Arial"/>
          <w:szCs w:val="20"/>
        </w:rPr>
      </w:pPr>
      <w:r>
        <w:rPr>
          <w:rFonts w:cs="Arial"/>
          <w:szCs w:val="20"/>
        </w:rPr>
      </w:r>
    </w:p>
    <w:p>
      <w:pPr>
        <w:pStyle w:val="BodyTextIn"/>
        <w:widowControl/>
        <w:autoSpaceDE w:val="true"/>
        <w:rPr/>
      </w:pPr>
      <w:r>
        <w:rPr>
          <w:rFonts w:cs="Arial"/>
          <w:szCs w:val="20"/>
        </w:rPr>
        <w:t>Since the enactment of PURPA in 1978 California has implemented policies to encourage the development and interconnection of retail customer-owned generation.  California statutory, contractual and regulatory provisions have been established to assure a fair and cost effective interconnection of these resources.</w:t>
      </w:r>
      <w:r>
        <w:rPr>
          <w:rStyle w:val="FootnoteCharacters"/>
          <w:rStyle w:val="FootnoteReference"/>
          <w:rFonts w:cs="Arial"/>
          <w:szCs w:val="20"/>
        </w:rPr>
        <w:footnoteReference w:id="10"/>
      </w:r>
      <w:r>
        <w:rPr>
          <w:rFonts w:cs="Arial"/>
          <w:szCs w:val="20"/>
        </w:rPr>
        <w:t xml:space="preserve">  These provisions have all been predicated on net metering of an integrated retail customer-owned generator and load.  There is no basis or need for changing the policies established by the Commission.  The ISO’s approach unreasonably eliminates any financial benefit associated with industrial site sufficiency.  Indeed, the ISO’s policies suggest that it would be more cost-effective for retail customer-owned generators to disconnect from the grid rather than to expose the integrated load to unreasonable ISO metering, charges and scheduling requirements.</w:t>
      </w:r>
    </w:p>
    <w:p>
      <w:pPr>
        <w:pStyle w:val="BodyTextIn"/>
        <w:keepNext w:val="true"/>
        <w:widowControl/>
        <w:numPr>
          <w:ilvl w:val="0"/>
          <w:numId w:val="4"/>
        </w:numPr>
        <w:autoSpaceDE w:val="true"/>
        <w:spacing w:lineRule="auto" w:line="240"/>
        <w:rPr>
          <w:rFonts w:cs="Arial"/>
          <w:b/>
          <w:bCs/>
          <w:szCs w:val="20"/>
        </w:rPr>
      </w:pPr>
      <w:r>
        <w:rPr>
          <w:rFonts w:cs="Arial"/>
          <w:b/>
          <w:bCs/>
          <w:szCs w:val="20"/>
        </w:rPr>
        <w:t>The ISO’s Policies are Unreasonable Because They Are Discriminatory to Load Served by Retail Customer-Owned Generation</w:t>
      </w:r>
    </w:p>
    <w:p>
      <w:pPr>
        <w:pStyle w:val="BodyTextIn"/>
        <w:widowControl/>
        <w:autoSpaceDE w:val="true"/>
        <w:spacing w:lineRule="auto" w:line="240"/>
        <w:ind w:hanging="0" w:end="0"/>
        <w:rPr>
          <w:rFonts w:cs="Arial"/>
          <w:b/>
          <w:bCs/>
          <w:szCs w:val="20"/>
        </w:rPr>
      </w:pPr>
      <w:r>
        <w:rPr>
          <w:rFonts w:cs="Arial"/>
          <w:b/>
          <w:bCs/>
          <w:szCs w:val="20"/>
        </w:rPr>
      </w:r>
    </w:p>
    <w:p>
      <w:pPr>
        <w:pStyle w:val="Normal"/>
        <w:spacing w:lineRule="auto" w:line="480"/>
        <w:ind w:firstLine="720" w:end="0"/>
        <w:rPr>
          <w:rFonts w:cs="Arial"/>
          <w:color w:val="000000"/>
        </w:rPr>
      </w:pPr>
      <w:r>
        <w:rPr>
          <w:color w:val="000000"/>
        </w:rPr>
        <w:t xml:space="preserve">The Federal Power Act prohibits unreasonable discrimination between classes of customers:  </w:t>
      </w:r>
      <w:r>
        <w:rPr>
          <w:i/>
          <w:iCs/>
          <w:color w:val="000000"/>
        </w:rPr>
        <w:t>“No public utility shall, with respect to any transmission or sale...maintain any unreasonable difference in rates, charges, service, facilities, or in any other respect...as between classes of service.”</w:t>
      </w:r>
      <w:r>
        <w:rPr>
          <w:color w:val="000000"/>
        </w:rPr>
        <w:t xml:space="preserve">  (Federal Power Act, §205(b)).  Moreover, regulations promulgated under PURPA regarding standby and backup service expressly prohibit the discrimination that the ISO policies will undeniably cause to occur.  Under 18 CFR 292.305, the rates for sales of power to a QF must be just and reasonable and in the public interest, and not discriminate against any Qualifying Facility in comparison to rates for sales to other customers served by the electric utility.  These regulations also require that rates for sales should be based on accurate data and consistent system-wide costing principles and shall not be considered to discriminate against any Qualifying Facility to the extent that such rates apply to the utility’s other customers with similar load or other cost-related characteristics.</w:t>
      </w:r>
    </w:p>
    <w:p>
      <w:pPr>
        <w:pStyle w:val="Normal"/>
        <w:spacing w:lineRule="auto" w:line="480"/>
        <w:ind w:firstLine="720" w:end="0"/>
        <w:rPr/>
      </w:pPr>
      <w:r>
        <w:rPr/>
        <w:t xml:space="preserve">The ISO allocates the Transmission Access Charge (TAC) and the Grid Management Charge (GMC) based on the </w:t>
      </w:r>
      <w:r>
        <w:rPr>
          <w:b/>
          <w:bCs/>
        </w:rPr>
        <w:t>“actual load”</w:t>
      </w:r>
      <w:r>
        <w:rPr/>
        <w:t xml:space="preserve"> of  UDC customers who do not employ customer-owned generation.  In other words, TAC and GMC are allocated based upon power flows metered at the customer’s service delivery meter.  This standard allocation method, however, is not used by the ISO for customers who rely on retail customer-owned generation.  The ISO seeks to impose TAC and GMC based on the </w:t>
      </w:r>
      <w:r>
        <w:rPr>
          <w:b/>
        </w:rPr>
        <w:t>“potential load”</w:t>
      </w:r>
      <w:r>
        <w:rPr/>
        <w:t xml:space="preserve"> from such customers assuming that all customer-owned generation is simultaneously out of service.</w:t>
      </w:r>
    </w:p>
    <w:p>
      <w:pPr>
        <w:pStyle w:val="BodyTextIn"/>
        <w:widowControl/>
        <w:autoSpaceDE w:val="true"/>
        <w:rPr>
          <w:szCs w:val="20"/>
        </w:rPr>
      </w:pPr>
      <w:r>
        <w:rPr>
          <w:szCs w:val="20"/>
        </w:rPr>
        <w:t>This treatment violates the principle of cost-causation and unduly discriminates against customer-owned generation load.  In contrast to the ISO, the Commission requires California electric utilities to design standby charges to take into account load diversity in determining the allocation of transmission costs to this service.</w:t>
      </w:r>
    </w:p>
    <w:p>
      <w:pPr>
        <w:pStyle w:val="Normal"/>
        <w:spacing w:lineRule="auto" w:line="480"/>
        <w:ind w:firstLine="720" w:end="0"/>
        <w:rPr/>
      </w:pPr>
      <w:r>
        <w:rPr/>
        <w:t xml:space="preserve">The discrimination is unwarranted and reflects highly implausible, if not impossible, conditions.  The proposal would require customers served by retail customer-owned generation to pay TAC and GMC based on the unjustifiable assumption that one hundred percent of the load, during one hundred percent of the time, is served by energy withdrawn from the grid.  In other </w:t>
      </w:r>
      <w:r>
        <w:rPr>
          <w:rFonts w:cs="Arial"/>
        </w:rPr>
        <w:t xml:space="preserve">words, the proposal assumes constant, simultaneous outages of all retail customer-owned generation units.  </w:t>
      </w:r>
      <w:r>
        <w:rPr/>
        <w:t xml:space="preserve">This assumption is expressly prohibited under federal regulation applicable to QFs.  Pursuant to 18 CFR 292.305(c): </w:t>
      </w:r>
    </w:p>
    <w:p>
      <w:pPr>
        <w:pStyle w:val="BlockText"/>
        <w:rPr>
          <w:i/>
          <w:i/>
          <w:iCs/>
        </w:rPr>
      </w:pPr>
      <w:r>
        <w:rPr>
          <w:i/>
          <w:iCs/>
        </w:rPr>
        <w:t>The rate for sales of back-up power or maintenance power:</w:t>
      </w:r>
    </w:p>
    <w:p>
      <w:pPr>
        <w:pStyle w:val="BlockText"/>
        <w:spacing w:before="0" w:after="0"/>
        <w:rPr>
          <w:u w:val="single"/>
        </w:rPr>
      </w:pPr>
      <w:r>
        <w:rPr>
          <w:i/>
          <w:iCs/>
        </w:rPr>
        <w:t xml:space="preserve">(1) </w:t>
      </w:r>
      <w:r>
        <w:rPr>
          <w:b/>
          <w:i/>
          <w:iCs/>
        </w:rPr>
        <w:t>Shall not be based</w:t>
      </w:r>
      <w:r>
        <w:rPr>
          <w:i/>
          <w:iCs/>
        </w:rPr>
        <w:t xml:space="preserve"> upon an assumption (unless supported by factual data) that forced outages or other reductions in electric output by all qualifying facilities on an electric utility’s system will occur simultaneously, or during the system peak, or both.  </w:t>
      </w:r>
      <w:r>
        <w:rPr/>
        <w:t>(Emphasis supplied.)</w:t>
      </w:r>
    </w:p>
    <w:p>
      <w:pPr>
        <w:pStyle w:val="BlockText"/>
        <w:spacing w:before="0" w:after="0"/>
        <w:ind w:start="0" w:end="1440"/>
        <w:rPr>
          <w:u w:val="single"/>
        </w:rPr>
      </w:pPr>
      <w:r>
        <w:rPr>
          <w:u w:val="single"/>
        </w:rPr>
      </w:r>
    </w:p>
    <w:p>
      <w:pPr>
        <w:pStyle w:val="Normal"/>
        <w:spacing w:lineRule="auto" w:line="480"/>
        <w:ind w:firstLine="720" w:end="0"/>
        <w:rPr>
          <w:rFonts w:cs="Arial"/>
          <w:color w:val="000000"/>
        </w:rPr>
      </w:pPr>
      <w:r>
        <w:rPr>
          <w:rFonts w:cs="Arial"/>
          <w:color w:val="000000"/>
        </w:rPr>
        <w:t>The potential for discrimination can best be demonstrated by considering the implications of the following three examples:</w:t>
      </w:r>
    </w:p>
    <w:p>
      <w:pPr>
        <w:pStyle w:val="BodyText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spacing w:lineRule="auto" w:line="480"/>
        <w:rPr>
          <w:rFonts w:ascii="Arial" w:hAnsi="Arial" w:cs="Arial"/>
          <w:u w:val="single"/>
        </w:rPr>
      </w:pPr>
      <w:r>
        <w:rPr>
          <w:rFonts w:cs="Arial" w:ascii="Arial" w:hAnsi="Arial"/>
          <w:u w:val="single"/>
        </w:rPr>
        <w:t>Discrimination Example 1:</w:t>
      </w:r>
    </w:p>
    <w:p>
      <w:pPr>
        <w:pStyle w:val="Normal"/>
        <w:spacing w:lineRule="auto" w:line="480"/>
        <w:rPr>
          <w:rFonts w:cs="Arial"/>
          <w:b/>
          <w:bCs/>
          <w:u w:val="single"/>
        </w:rPr>
      </w:pPr>
      <w:r>
        <w:rPr>
          <w:rFonts w:cs="Arial"/>
          <w:b/>
          <w:bCs/>
          <w:u w:val="single"/>
        </w:rPr>
        <w:t>Assumptions:</w:t>
      </w:r>
    </w:p>
    <w:p>
      <w:pPr>
        <w:pStyle w:val="Normal"/>
        <w:numPr>
          <w:ilvl w:val="0"/>
          <w:numId w:val="12"/>
        </w:numPr>
        <w:tabs>
          <w:tab w:val="left" w:pos="720" w:leader="none"/>
        </w:tabs>
        <w:rPr>
          <w:rFonts w:cs="Arial"/>
        </w:rPr>
      </w:pPr>
      <w:r>
        <w:rPr>
          <w:rFonts w:cs="Arial"/>
        </w:rPr>
        <w:t>Two identical industrial facilities (Plant A and Plant B), each with two operating processes with electric power consumption of 10 MW for each process.</w:t>
      </w:r>
    </w:p>
    <w:p>
      <w:pPr>
        <w:pStyle w:val="Normal"/>
        <w:tabs>
          <w:tab w:val="left" w:pos="720" w:leader="none"/>
        </w:tabs>
        <w:rPr>
          <w:rFonts w:cs="Arial"/>
        </w:rPr>
      </w:pPr>
      <w:r>
        <w:rPr>
          <w:rFonts w:cs="Arial"/>
        </w:rPr>
      </w:r>
    </w:p>
    <w:p>
      <w:pPr>
        <w:pStyle w:val="Normal"/>
        <w:numPr>
          <w:ilvl w:val="0"/>
          <w:numId w:val="16"/>
        </w:numPr>
        <w:tabs>
          <w:tab w:val="clear" w:pos="720"/>
          <w:tab w:val="left" w:pos="360" w:leader="none"/>
        </w:tabs>
        <w:ind w:hanging="360" w:start="360" w:end="0"/>
        <w:rPr>
          <w:rFonts w:cs="Arial"/>
        </w:rPr>
      </w:pPr>
      <w:r>
        <w:rPr>
          <w:rFonts w:cs="Arial"/>
        </w:rPr>
        <w:t>Plant A has installed a cogeneration facility of 20 MW; Plant B takes its entire electric service from the UDC.</w:t>
      </w:r>
    </w:p>
    <w:p>
      <w:pPr>
        <w:pStyle w:val="Normal"/>
        <w:rPr>
          <w:rFonts w:cs="Arial"/>
        </w:rPr>
      </w:pPr>
      <w:r>
        <w:rPr>
          <w:rFonts w:cs="Arial"/>
        </w:rPr>
      </w:r>
    </w:p>
    <w:p>
      <w:pPr>
        <w:pStyle w:val="Normal"/>
        <w:numPr>
          <w:ilvl w:val="2"/>
          <w:numId w:val="14"/>
        </w:numPr>
        <w:tabs>
          <w:tab w:val="clear" w:pos="720"/>
          <w:tab w:val="left" w:pos="360" w:leader="none"/>
        </w:tabs>
        <w:ind w:hanging="360" w:start="360" w:end="0"/>
        <w:rPr>
          <w:rFonts w:cs="Arial"/>
        </w:rPr>
      </w:pPr>
      <w:r>
        <w:rPr>
          <w:rFonts w:cs="Arial"/>
        </w:rPr>
        <w:t>Actual electric power consumption for Plant B delivered over the grid is 10 MW (</w:t>
      </w:r>
      <w:r>
        <w:rPr>
          <w:rFonts w:cs="Arial"/>
          <w:i/>
          <w:iCs/>
        </w:rPr>
        <w:t>i.e.</w:t>
      </w:r>
      <w:r>
        <w:rPr>
          <w:rFonts w:cs="Arial"/>
        </w:rPr>
        <w:t>, the “actual load” on the grid is 10 MW); concurrent with Plant B, Plant A operates two processes, or consumes 20 MW of electrical power, supplied with cogeneration that is located behind the site boundary meter.  In other words, Plant A does not have any of its energy consumption delivered over the grid (</w:t>
      </w:r>
      <w:r>
        <w:rPr>
          <w:rFonts w:cs="Arial"/>
          <w:i/>
          <w:iCs/>
        </w:rPr>
        <w:t>i.e.</w:t>
      </w:r>
      <w:r>
        <w:rPr>
          <w:rFonts w:cs="Arial"/>
        </w:rPr>
        <w:t>, the “actual load” on the grid is zero).</w:t>
      </w:r>
    </w:p>
    <w:p>
      <w:pPr>
        <w:pStyle w:val="Normal"/>
        <w:tabs>
          <w:tab w:val="clear" w:pos="720"/>
          <w:tab w:val="left" w:pos="360" w:leader="none"/>
        </w:tabs>
        <w:rPr>
          <w:rFonts w:cs="Arial"/>
        </w:rPr>
      </w:pPr>
      <w:r>
        <w:rPr>
          <w:rFonts w:cs="Arial"/>
        </w:rPr>
      </w:r>
    </w:p>
    <w:p>
      <w:pPr>
        <w:pStyle w:val="Normal"/>
        <w:numPr>
          <w:ilvl w:val="2"/>
          <w:numId w:val="2"/>
        </w:numPr>
        <w:tabs>
          <w:tab w:val="clear" w:pos="720"/>
          <w:tab w:val="left" w:pos="360" w:leader="none"/>
        </w:tabs>
        <w:ind w:hanging="360" w:start="360" w:end="0"/>
        <w:rPr>
          <w:rFonts w:cs="Arial"/>
        </w:rPr>
      </w:pPr>
      <w:r>
        <w:rPr>
          <w:rFonts w:cs="Arial"/>
        </w:rPr>
        <w:t>The ISO TAC/GMC Allocation for Plant B would be an allocation for 10 MW of “load,” while the allocation for Plant A would be for 20 MW of “load.”</w:t>
      </w:r>
    </w:p>
    <w:p>
      <w:pPr>
        <w:pStyle w:val="Normal"/>
        <w:tabs>
          <w:tab w:val="clear" w:pos="720"/>
          <w:tab w:val="left" w:pos="360" w:leader="none"/>
        </w:tabs>
        <w:rPr>
          <w:rFonts w:cs="Arial"/>
        </w:rPr>
      </w:pPr>
      <w:r>
        <w:rPr>
          <w:rFonts w:cs="Arial"/>
        </w:rPr>
      </w:r>
    </w:p>
    <w:p>
      <w:pPr>
        <w:pStyle w:val="Normal"/>
        <w:tabs>
          <w:tab w:val="clear" w:pos="720"/>
          <w:tab w:val="left" w:pos="360" w:leader="none"/>
        </w:tabs>
        <w:spacing w:lineRule="auto" w:line="480"/>
        <w:rPr>
          <w:rFonts w:cs="Arial"/>
          <w:b/>
          <w:bCs/>
          <w:u w:val="single"/>
        </w:rPr>
      </w:pPr>
      <w:r>
        <w:rPr>
          <w:rFonts w:cs="Arial"/>
          <w:b/>
          <w:bCs/>
          <w:u w:val="single"/>
        </w:rPr>
        <w:t>Discrimination Example 1 Implications:</w:t>
      </w:r>
    </w:p>
    <w:p>
      <w:pPr>
        <w:pStyle w:val="Normal"/>
        <w:numPr>
          <w:ilvl w:val="0"/>
          <w:numId w:val="11"/>
        </w:numPr>
        <w:rPr>
          <w:rFonts w:cs="Arial"/>
          <w:i/>
          <w:i/>
        </w:rPr>
      </w:pPr>
      <w:r>
        <w:rPr>
          <w:rFonts w:cs="Arial"/>
        </w:rPr>
        <w:t>Both Plant A and Plant B have the “potential” to impose 20 MW of load on the ISO-controlled grid.</w:t>
      </w:r>
    </w:p>
    <w:p>
      <w:pPr>
        <w:pStyle w:val="Normal"/>
        <w:rPr>
          <w:rFonts w:cs="Arial"/>
          <w:i/>
          <w:i/>
        </w:rPr>
      </w:pPr>
      <w:r>
        <w:rPr>
          <w:rFonts w:cs="Arial"/>
          <w:i/>
        </w:rPr>
      </w:r>
    </w:p>
    <w:p>
      <w:pPr>
        <w:pStyle w:val="Normal"/>
        <w:numPr>
          <w:ilvl w:val="0"/>
          <w:numId w:val="11"/>
        </w:numPr>
        <w:rPr>
          <w:rFonts w:cs="Arial"/>
          <w:i/>
          <w:i/>
        </w:rPr>
      </w:pPr>
      <w:r>
        <w:rPr>
          <w:rFonts w:cs="Arial"/>
        </w:rPr>
        <w:t>Plant A could put load on the system in the event the cogeneration unit has an outage and it takes standby service from the UDC.</w:t>
      </w:r>
    </w:p>
    <w:p>
      <w:pPr>
        <w:pStyle w:val="Normal"/>
        <w:rPr>
          <w:rFonts w:cs="Arial"/>
          <w:i/>
          <w:i/>
        </w:rPr>
      </w:pPr>
      <w:r>
        <w:rPr>
          <w:rFonts w:cs="Arial"/>
          <w:i/>
        </w:rPr>
      </w:r>
    </w:p>
    <w:p>
      <w:pPr>
        <w:pStyle w:val="Normal"/>
        <w:numPr>
          <w:ilvl w:val="0"/>
          <w:numId w:val="11"/>
        </w:numPr>
        <w:rPr>
          <w:rFonts w:cs="Arial"/>
          <w:i/>
          <w:i/>
        </w:rPr>
      </w:pPr>
      <w:r>
        <w:rPr>
          <w:rFonts w:cs="Arial"/>
        </w:rPr>
        <w:t>Plant B could increase its process electrical consumption from 10 MW to the full two-process operation of 20 MW.  Moreover, Plant B’s actual load placed on the grid (</w:t>
      </w:r>
      <w:r>
        <w:rPr>
          <w:rFonts w:cs="Arial"/>
          <w:i/>
          <w:iCs/>
        </w:rPr>
        <w:t>i.e.</w:t>
      </w:r>
      <w:r>
        <w:rPr>
          <w:rFonts w:cs="Arial"/>
        </w:rPr>
        <w:t>, 10 MW) is higher than the load placed on the grid by Plant A (</w:t>
      </w:r>
      <w:r>
        <w:rPr>
          <w:rFonts w:cs="Arial"/>
          <w:i/>
          <w:iCs/>
        </w:rPr>
        <w:t>i.e.</w:t>
      </w:r>
      <w:r>
        <w:rPr>
          <w:rFonts w:cs="Arial"/>
        </w:rPr>
        <w:t>, zero MW).</w:t>
      </w:r>
    </w:p>
    <w:p>
      <w:pPr>
        <w:pStyle w:val="Normal"/>
        <w:rPr>
          <w:rFonts w:cs="Arial"/>
          <w:i/>
          <w:i/>
        </w:rPr>
      </w:pPr>
      <w:r>
        <w:rPr>
          <w:rFonts w:cs="Arial"/>
          <w:i/>
        </w:rPr>
      </w:r>
    </w:p>
    <w:p>
      <w:pPr>
        <w:pStyle w:val="Normal"/>
        <w:numPr>
          <w:ilvl w:val="0"/>
          <w:numId w:val="11"/>
        </w:numPr>
        <w:rPr>
          <w:rFonts w:cs="Arial"/>
          <w:iCs/>
        </w:rPr>
      </w:pPr>
      <w:r>
        <w:rPr>
          <w:rFonts w:cs="Arial"/>
          <w:iCs/>
        </w:rPr>
        <w:t>Although both Plants have the same “potential” load, and Plant B has a higher “actual” load, Plant A would receive a higher TAC/GMC allocation.</w:t>
      </w:r>
    </w:p>
    <w:p>
      <w:pPr>
        <w:pStyle w:val="Normal"/>
        <w:rPr>
          <w:rFonts w:cs="Arial"/>
          <w:iCs/>
        </w:rPr>
      </w:pPr>
      <w:r>
        <w:rPr>
          <w:rFonts w:cs="Arial"/>
          <w:iCs/>
        </w:rPr>
      </w:r>
    </w:p>
    <w:p>
      <w:pPr>
        <w:pStyle w:val="Normal"/>
        <w:keepNext w:val="true"/>
        <w:spacing w:lineRule="auto" w:line="480"/>
        <w:rPr>
          <w:b/>
          <w:bCs/>
          <w:u w:val="single"/>
        </w:rPr>
      </w:pPr>
      <w:r>
        <w:rPr>
          <w:rFonts w:cs="Arial"/>
          <w:b/>
          <w:bCs/>
          <w:u w:val="single"/>
        </w:rPr>
        <w:t>Discrimination Example 2:</w:t>
      </w:r>
    </w:p>
    <w:p>
      <w:pPr>
        <w:pStyle w:val="Normal"/>
        <w:keepNext w:val="true"/>
        <w:spacing w:lineRule="auto" w:line="480"/>
        <w:rPr>
          <w:b/>
          <w:bCs/>
          <w:u w:val="single"/>
        </w:rPr>
      </w:pPr>
      <w:r>
        <w:rPr>
          <w:b/>
          <w:bCs/>
          <w:u w:val="single"/>
        </w:rPr>
        <w:t>Assumptions:</w:t>
      </w:r>
    </w:p>
    <w:p>
      <w:pPr>
        <w:pStyle w:val="Normal"/>
        <w:keepNext w:val="true"/>
        <w:numPr>
          <w:ilvl w:val="0"/>
          <w:numId w:val="10"/>
        </w:numPr>
        <w:tabs>
          <w:tab w:val="clear" w:pos="720"/>
          <w:tab w:val="left" w:pos="360" w:leader="none"/>
        </w:tabs>
        <w:ind w:hanging="360" w:start="360" w:end="0"/>
        <w:rPr/>
      </w:pPr>
      <w:r>
        <w:rPr/>
        <w:t>Two industrial facilities (Plant A and Plant B).</w:t>
      </w:r>
    </w:p>
    <w:p>
      <w:pPr>
        <w:pStyle w:val="Normal"/>
        <w:keepNext w:val="true"/>
        <w:rPr/>
      </w:pPr>
      <w:r>
        <w:rPr/>
      </w:r>
    </w:p>
    <w:p>
      <w:pPr>
        <w:pStyle w:val="Normal"/>
        <w:numPr>
          <w:ilvl w:val="0"/>
          <w:numId w:val="6"/>
        </w:numPr>
        <w:tabs>
          <w:tab w:val="clear" w:pos="720"/>
          <w:tab w:val="left" w:pos="360" w:leader="none"/>
        </w:tabs>
        <w:ind w:hanging="360" w:start="360" w:end="0"/>
        <w:rPr/>
      </w:pPr>
      <w:r>
        <w:rPr/>
        <w:t>Plant A has installed a cogeneration facility of 20 MW, with a 20 MW flat electrical power consumption and has not in the past year received energy deliveries from the grid to serve this power consumption; Plant B takes its electric service from the UDC with a peak electrical power consumption of 20 MW (which happens during three months of the year) and an average electrical power consumption of 10 MW.</w:t>
      </w:r>
    </w:p>
    <w:p>
      <w:pPr>
        <w:pStyle w:val="Normal"/>
        <w:rPr/>
      </w:pPr>
      <w:r>
        <w:rPr/>
      </w:r>
    </w:p>
    <w:p>
      <w:pPr>
        <w:pStyle w:val="Normal"/>
        <w:numPr>
          <w:ilvl w:val="0"/>
          <w:numId w:val="6"/>
        </w:numPr>
        <w:tabs>
          <w:tab w:val="clear" w:pos="720"/>
          <w:tab w:val="left" w:pos="360" w:leader="none"/>
        </w:tabs>
        <w:ind w:hanging="360" w:start="360" w:end="0"/>
        <w:rPr/>
      </w:pPr>
      <w:r>
        <w:rPr/>
        <w:t>The annual TAC/GMC allocation to Plant A would be based on 20 MW, while the allocation to Plant B would be based on 10 MW.</w:t>
      </w:r>
    </w:p>
    <w:p>
      <w:pPr>
        <w:pStyle w:val="Normal"/>
        <w:rPr/>
      </w:pPr>
      <w:r>
        <w:rPr/>
      </w:r>
    </w:p>
    <w:p>
      <w:pPr>
        <w:pStyle w:val="Normal"/>
        <w:spacing w:lineRule="auto" w:line="480"/>
        <w:rPr>
          <w:b/>
          <w:bCs/>
          <w:u w:val="single"/>
        </w:rPr>
      </w:pPr>
      <w:r>
        <w:rPr>
          <w:b/>
          <w:bCs/>
          <w:u w:val="single"/>
        </w:rPr>
        <w:t>Discrimination Example 2 Implications:</w:t>
      </w:r>
    </w:p>
    <w:p>
      <w:pPr>
        <w:pStyle w:val="Normal"/>
        <w:numPr>
          <w:ilvl w:val="0"/>
          <w:numId w:val="7"/>
        </w:numPr>
        <w:tabs>
          <w:tab w:val="clear" w:pos="720"/>
          <w:tab w:val="left" w:pos="360" w:leader="none"/>
        </w:tabs>
        <w:spacing w:lineRule="auto" w:line="480"/>
        <w:ind w:hanging="360" w:start="360" w:end="0"/>
        <w:rPr>
          <w:i/>
          <w:i/>
        </w:rPr>
      </w:pPr>
      <w:r>
        <w:rPr/>
        <w:t>Both Plant A and Plant B have the same “potential” load.</w:t>
      </w:r>
    </w:p>
    <w:p>
      <w:pPr>
        <w:pStyle w:val="Normal"/>
        <w:numPr>
          <w:ilvl w:val="0"/>
          <w:numId w:val="7"/>
        </w:numPr>
        <w:tabs>
          <w:tab w:val="clear" w:pos="720"/>
          <w:tab w:val="left" w:pos="360" w:leader="none"/>
        </w:tabs>
        <w:ind w:hanging="360" w:start="360" w:end="0"/>
        <w:rPr>
          <w:i/>
          <w:i/>
        </w:rPr>
      </w:pPr>
      <w:r>
        <w:rPr/>
        <w:t>Plant A’s maximum potential load arises only if the cogeneration facility has an outage (which did not occur over the last year).</w:t>
      </w:r>
    </w:p>
    <w:p>
      <w:pPr>
        <w:pStyle w:val="Normal"/>
        <w:numPr>
          <w:ilvl w:val="0"/>
          <w:numId w:val="7"/>
        </w:numPr>
        <w:tabs>
          <w:tab w:val="clear" w:pos="720"/>
          <w:tab w:val="left" w:pos="360" w:leader="none"/>
        </w:tabs>
        <w:ind w:hanging="360" w:start="360" w:end="0"/>
        <w:rPr>
          <w:i/>
          <w:i/>
        </w:rPr>
      </w:pPr>
      <w:r>
        <w:rPr/>
        <w:t>Plant B’s maximum load arises regularly, for three months during the year, at peak operating periods.</w:t>
      </w:r>
    </w:p>
    <w:p>
      <w:pPr>
        <w:pStyle w:val="Normal"/>
        <w:rPr>
          <w:i/>
          <w:i/>
        </w:rPr>
      </w:pPr>
      <w:r>
        <w:rPr>
          <w:i/>
        </w:rPr>
      </w:r>
    </w:p>
    <w:p>
      <w:pPr>
        <w:pStyle w:val="Normal"/>
        <w:numPr>
          <w:ilvl w:val="0"/>
          <w:numId w:val="7"/>
        </w:numPr>
        <w:tabs>
          <w:tab w:val="clear" w:pos="720"/>
          <w:tab w:val="left" w:pos="360" w:leader="none"/>
        </w:tabs>
        <w:ind w:hanging="360" w:start="360" w:end="0"/>
        <w:rPr>
          <w:iCs/>
        </w:rPr>
      </w:pPr>
      <w:r>
        <w:rPr>
          <w:iCs/>
        </w:rPr>
        <w:t>Although both Plants have the same “potential” load, and Plant B has a higher “actual” load, Plant A would receive a higher TAC and GMC allocation.</w:t>
      </w:r>
    </w:p>
    <w:p>
      <w:pPr>
        <w:pStyle w:val="Normal"/>
        <w:rPr>
          <w:iCs/>
        </w:rPr>
      </w:pPr>
      <w:r>
        <w:rPr>
          <w:iCs/>
        </w:rPr>
      </w:r>
    </w:p>
    <w:p>
      <w:pPr>
        <w:pStyle w:val="Normal"/>
        <w:spacing w:lineRule="auto" w:line="480"/>
        <w:rPr>
          <w:b/>
          <w:u w:val="single"/>
        </w:rPr>
      </w:pPr>
      <w:r>
        <w:rPr>
          <w:b/>
          <w:u w:val="single"/>
        </w:rPr>
        <w:t>Discrimination Example 3:</w:t>
      </w:r>
    </w:p>
    <w:p>
      <w:pPr>
        <w:pStyle w:val="Normal"/>
        <w:spacing w:lineRule="auto" w:line="480"/>
        <w:ind w:hanging="360" w:start="360" w:end="0"/>
        <w:rPr>
          <w:b/>
          <w:bCs/>
          <w:u w:val="single"/>
        </w:rPr>
      </w:pPr>
      <w:r>
        <w:rPr>
          <w:b/>
          <w:bCs/>
          <w:u w:val="single"/>
        </w:rPr>
        <w:t>Assumptions:</w:t>
      </w:r>
    </w:p>
    <w:p>
      <w:pPr>
        <w:pStyle w:val="Normal"/>
        <w:numPr>
          <w:ilvl w:val="0"/>
          <w:numId w:val="3"/>
        </w:numPr>
        <w:tabs>
          <w:tab w:val="clear" w:pos="720"/>
          <w:tab w:val="left" w:pos="360" w:leader="none"/>
        </w:tabs>
        <w:ind w:hanging="360" w:start="360" w:end="0"/>
        <w:rPr/>
      </w:pPr>
      <w:r>
        <w:rPr/>
        <w:t>Enduser A has a device powered by a steam turbine with an electric motor back up in the event that the steam turbine incurs an outage.</w:t>
      </w:r>
    </w:p>
    <w:p>
      <w:pPr>
        <w:pStyle w:val="Normal"/>
        <w:rPr/>
      </w:pPr>
      <w:r>
        <w:rPr/>
      </w:r>
    </w:p>
    <w:p>
      <w:pPr>
        <w:pStyle w:val="Normal"/>
        <w:numPr>
          <w:ilvl w:val="0"/>
          <w:numId w:val="3"/>
        </w:numPr>
        <w:tabs>
          <w:tab w:val="clear" w:pos="720"/>
          <w:tab w:val="left" w:pos="360" w:leader="none"/>
        </w:tabs>
        <w:ind w:hanging="360" w:start="360" w:end="0"/>
        <w:rPr/>
      </w:pPr>
      <w:r>
        <w:rPr/>
        <w:t>Enduser B has the same device powered by an electric motor that is supplied by a cogenerator, and takes standby service from the utility in the event of an unplanned outage of the cogenerator.</w:t>
      </w:r>
    </w:p>
    <w:p>
      <w:pPr>
        <w:pStyle w:val="Normal"/>
        <w:rPr/>
      </w:pPr>
      <w:r>
        <w:rPr/>
      </w:r>
    </w:p>
    <w:p>
      <w:pPr>
        <w:pStyle w:val="Normal"/>
        <w:spacing w:lineRule="auto" w:line="480"/>
        <w:rPr>
          <w:b/>
          <w:bCs/>
          <w:u w:val="single"/>
        </w:rPr>
      </w:pPr>
      <w:r>
        <w:rPr>
          <w:b/>
          <w:bCs/>
          <w:u w:val="single"/>
        </w:rPr>
        <w:t>Discrimination Example 3 Implications:</w:t>
      </w:r>
    </w:p>
    <w:p>
      <w:pPr>
        <w:pStyle w:val="Normal"/>
        <w:numPr>
          <w:ilvl w:val="0"/>
          <w:numId w:val="13"/>
        </w:numPr>
        <w:tabs>
          <w:tab w:val="clear" w:pos="720"/>
          <w:tab w:val="left" w:pos="360" w:leader="none"/>
        </w:tabs>
        <w:ind w:hanging="360" w:start="360" w:end="0"/>
        <w:rPr/>
      </w:pPr>
      <w:r>
        <w:rPr/>
        <w:t>While both A and B have the potential to place additional load on the grid (in the event that the steam turbine or the cogenerator goes down), Enduser A is only charged TAC/GMC on the basis of his actual load when the steam turbine incurs an outage.</w:t>
      </w:r>
    </w:p>
    <w:p>
      <w:pPr>
        <w:pStyle w:val="Normal"/>
        <w:rPr/>
      </w:pPr>
      <w:r>
        <w:rPr/>
      </w:r>
    </w:p>
    <w:p>
      <w:pPr>
        <w:pStyle w:val="Normal"/>
        <w:numPr>
          <w:ilvl w:val="0"/>
          <w:numId w:val="13"/>
        </w:numPr>
        <w:tabs>
          <w:tab w:val="clear" w:pos="720"/>
          <w:tab w:val="left" w:pos="360" w:leader="none"/>
        </w:tabs>
        <w:ind w:hanging="360" w:start="360" w:end="0"/>
        <w:rPr/>
      </w:pPr>
      <w:r>
        <w:rPr/>
        <w:t>Enduser B is charged TAC/GMC on the basis of his potential load even when his cogenerator is operating.  Moreover, if Enduser B’s consumption of electricity decreases when the generator is not supplying power, the TAC/GMC allocation is based upon the load being fully operational.</w:t>
      </w:r>
    </w:p>
    <w:p>
      <w:pPr>
        <w:pStyle w:val="Normal"/>
        <w:rPr/>
      </w:pPr>
      <w:r>
        <w:rPr/>
      </w:r>
    </w:p>
    <w:p>
      <w:pPr>
        <w:pStyle w:val="BodyTextIn"/>
        <w:widowControl/>
        <w:autoSpaceDE w:val="true"/>
        <w:rPr>
          <w:rFonts w:cs="Arial"/>
          <w:szCs w:val="20"/>
        </w:rPr>
      </w:pPr>
      <w:r>
        <w:rPr>
          <w:rFonts w:cs="Arial"/>
        </w:rPr>
        <w:t>The ISO’s policies are unreasonably discriminatory, violate applicable laws and regulations, and serve to discourage the interconnection of existing and new retail customer-owned generation.  These discriminatory policies violate the conditions of Section 372(f) and cannot be properly sustained by the ISO.</w:t>
      </w:r>
    </w:p>
    <w:p>
      <w:pPr>
        <w:pStyle w:val="BodyTextIn"/>
        <w:keepNext w:val="true"/>
        <w:widowControl/>
        <w:numPr>
          <w:ilvl w:val="0"/>
          <w:numId w:val="4"/>
        </w:numPr>
        <w:autoSpaceDE w:val="true"/>
        <w:spacing w:lineRule="auto" w:line="240"/>
        <w:rPr>
          <w:rFonts w:cs="Arial"/>
          <w:szCs w:val="20"/>
        </w:rPr>
      </w:pPr>
      <w:r>
        <w:rPr>
          <w:rFonts w:cs="Arial"/>
          <w:b/>
          <w:bCs/>
          <w:szCs w:val="20"/>
        </w:rPr>
        <w:t>ISO Assertions to Justify These Flawed Policies are Fallacious and Misplaced</w:t>
      </w:r>
    </w:p>
    <w:p>
      <w:pPr>
        <w:pStyle w:val="BodyTextIn"/>
        <w:widowControl/>
        <w:autoSpaceDE w:val="true"/>
        <w:spacing w:lineRule="auto" w:line="240"/>
        <w:ind w:hanging="0" w:end="0"/>
        <w:rPr>
          <w:rFonts w:cs="Arial"/>
          <w:szCs w:val="20"/>
        </w:rPr>
      </w:pPr>
      <w:r>
        <w:rPr>
          <w:rFonts w:cs="Arial"/>
          <w:szCs w:val="20"/>
        </w:rPr>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rPr>
        <w:t>The ISO has endeavored to justify its unreasonable and flawed policies to impose obligations on “behind the meter” load based upon a supposed failure to meet reliability requirements administered by the National Electric Reliability Council (NERC) and the Western States Coordination Council (WSCC).</w:t>
      </w:r>
      <w:r>
        <w:rPr>
          <w:rStyle w:val="FootnoteCharacters"/>
          <w:rStyle w:val="FootnoteReference"/>
          <w:rFonts w:cs="Arial"/>
        </w:rPr>
        <w:footnoteReference w:id="11"/>
      </w:r>
      <w:r>
        <w:rPr>
          <w:rFonts w:cs="Arial"/>
        </w:rPr>
        <w:t xml:space="preserve">  This ISO position is flawed and relies upon an erroneous interpretation and application of the WSCC and NERC requirements.</w:t>
      </w:r>
    </w:p>
    <w:p>
      <w:pPr>
        <w:pStyle w:val="BodyTextIn"/>
        <w:keepNext w:val="true"/>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rPr>
        <w:t>The ISO</w:t>
      </w:r>
      <w:r>
        <w:rPr/>
        <w:t xml:space="preserve"> alleges that “control area firm load” includes “behind the meter” load under WSCC and NERC operating criteria.  That position is not supported by a review of the WSCC definitions.  The WSCC defines load responsibility as:</w:t>
      </w:r>
    </w:p>
    <w:p>
      <w:pPr>
        <w:pStyle w:val="BlockText"/>
        <w:rPr/>
      </w:pPr>
      <w:r>
        <w:rPr>
          <w:i/>
        </w:rPr>
        <w:t xml:space="preserve">A control area’s </w:t>
      </w:r>
      <w:r>
        <w:rPr>
          <w:b/>
          <w:bCs/>
          <w:i/>
          <w:u w:val="single"/>
        </w:rPr>
        <w:t>firm load</w:t>
      </w:r>
      <w:r>
        <w:rPr>
          <w:i/>
        </w:rPr>
        <w:t xml:space="preserve"> demand plus those firm sales minus those firm purchases for which reserve capacity is provided by the supplier.</w:t>
      </w:r>
    </w:p>
    <w:p>
      <w:pPr>
        <w:pStyle w:val="BlockText"/>
        <w:ind w:start="0" w:end="1440"/>
        <w:rPr>
          <w:i/>
          <w:i/>
          <w:u w:val="single"/>
        </w:rPr>
      </w:pPr>
      <w:r>
        <w:rPr>
          <w:i/>
          <w:u w:val="single"/>
        </w:rPr>
      </w:r>
    </w:p>
    <w:p>
      <w:pPr>
        <w:pStyle w:val="BodyTextIn"/>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Since the “behind the meter” load for retail customer-owned generation operations is relying on standby service, the load is not firm.  The load is served when an outage occurs.  In addition, on-site consumption of electric energy served by generation behind the point of common coupling is not "Load" as defined by NERC.  NERC defines "load" as follows:</w:t>
      </w:r>
    </w:p>
    <w:p>
      <w:pPr>
        <w:pStyle w:val="BlockText"/>
        <w:ind w:start="2160" w:end="1440"/>
        <w:rPr/>
      </w:pPr>
      <w:r>
        <w:rPr>
          <w:b/>
          <w:i/>
        </w:rPr>
        <w:t>Load.</w:t>
      </w:r>
      <w:r>
        <w:rPr>
          <w:i/>
        </w:rPr>
        <w:t xml:space="preserve">   The amount of electric power delivered or required at any specified point or points on a system.</w:t>
      </w:r>
    </w:p>
    <w:p>
      <w:pPr>
        <w:pStyle w:val="BlockText"/>
        <w:ind w:start="2160" w:end="1440"/>
        <w:rPr/>
      </w:pPr>
      <w:r>
        <w:rPr>
          <w:b/>
          <w:i/>
        </w:rPr>
        <w:t>System.</w:t>
      </w:r>
      <w:r>
        <w:rPr>
          <w:i/>
        </w:rPr>
        <w:t xml:space="preserve">   A combination of generation, transmission, and distribution components comprising an electric utility, or group of utilities.</w:t>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color w:val="000000"/>
        </w:rPr>
      </w:pPr>
      <w:r>
        <w:rPr>
          <w:color w:val="000000"/>
        </w:rPr>
        <w:t>A retail customer with generation is not an electric utility.  Moreover, no power is "delivered" or "required" at any point on the utility "System" when a retail customer satisfies its electric energy requirements with its own generation “behind the meter.”  The customer’s electric energy requirements are served by private, non-utility distribution facilities that are not a dedicated part of the utility's transmission and distribution network.</w:t>
      </w:r>
    </w:p>
    <w:p>
      <w:pPr>
        <w:pStyle w:val="BodyTextIn"/>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color w:val="000000"/>
        </w:rPr>
        <w:t>The WSCC and NERC definitions clarify that a “control area’s firm load” is load delivered and metered at the customer’s site boundary net of a customer’s integrated generation and load (</w:t>
      </w:r>
      <w:r>
        <w:rPr>
          <w:i/>
          <w:color w:val="000000"/>
        </w:rPr>
        <w:t>i.e</w:t>
      </w:r>
      <w:r>
        <w:rPr>
          <w:color w:val="000000"/>
        </w:rPr>
        <w:t>., the specific point or points of interconnection with the electric utility system).  The “control area’s firm load” does not include customer-owned generation serving energy consumption “behind the customer site boundary meter.”</w:t>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rPr>
      </w:pPr>
      <w:r>
        <w:rPr>
          <w:color w:val="000000"/>
        </w:rPr>
        <w:t>Significantly, before the ISO undertook operation of the grid, PG&amp;E, SCE and SDG&amp;E historically applied the WSCC and NERC criteria in this manner.  “Behind the meter” load was never considered to be part of the utility’s “control area firm load,” except and to the extent such on-site consumption was be part of the UDCs’ retail standby service load.  This same standard should be applied by the ISO to such load.</w:t>
      </w:r>
    </w:p>
    <w:p>
      <w:pPr>
        <w:pStyle w:val="BodyTextIn"/>
        <w:widowControl/>
        <w:autoSpaceDE w:val="true"/>
        <w:rPr>
          <w:rFonts w:cs="Arial"/>
          <w:color w:val="000000"/>
        </w:rPr>
      </w:pPr>
      <w:r>
        <w:rPr>
          <w:rFonts w:cs="Arial"/>
          <w:color w:val="000000"/>
        </w:rPr>
        <w:t>There are troublesome cost implications to the ISO’s flawed assessment of reserve requirements for “behind the meter” load.  Under its interpretation of control area firm load, the ISO would procure excessive amounts of reserves, and excessive ancillary services costs.</w:t>
      </w:r>
    </w:p>
    <w:p>
      <w:pPr>
        <w:pStyle w:val="BodyTextIn"/>
        <w:widowControl/>
        <w:autoSpaceDE w:val="true"/>
        <w:rPr>
          <w:rFonts w:cs="Arial"/>
          <w:b/>
          <w:bCs/>
          <w:color w:val="000000"/>
          <w:szCs w:val="20"/>
        </w:rPr>
      </w:pPr>
      <w:r>
        <w:rPr>
          <w:rFonts w:cs="Arial"/>
          <w:color w:val="000000"/>
        </w:rPr>
        <w:t>There is no reasonable justification for the ISO’s policies related to retail customer-owned generation.  The policies are unreasonable and unsupported.  The Commission and the EOB should undertake remedial actions in the following proceedings in order to address the flawed ISO policies.</w:t>
      </w:r>
    </w:p>
    <w:p>
      <w:pPr>
        <w:pStyle w:val="Normal"/>
        <w:keepNext w:val="true"/>
        <w:numPr>
          <w:ilvl w:val="0"/>
          <w:numId w:val="4"/>
        </w:numPr>
        <w:rPr>
          <w:rFonts w:cs="Arial"/>
          <w:b/>
          <w:bCs/>
        </w:rPr>
      </w:pPr>
      <w:r>
        <w:rPr>
          <w:rFonts w:cs="Arial"/>
          <w:b/>
          <w:bCs/>
        </w:rPr>
        <w:t>Specific Proceedings Evidence the ISO’s Actions to Unreasonably Discourage Retail Customer-Owned Generation in Contravention of California Policies</w:t>
      </w:r>
    </w:p>
    <w:p>
      <w:pPr>
        <w:pStyle w:val="Normal"/>
        <w:rPr>
          <w:rFonts w:cs="Arial"/>
          <w:b/>
          <w:bCs/>
        </w:rPr>
      </w:pPr>
      <w:r>
        <w:rPr>
          <w:rFonts w:cs="Arial"/>
          <w:b/>
          <w:bCs/>
        </w:rPr>
      </w:r>
    </w:p>
    <w:p>
      <w:pPr>
        <w:pStyle w:val="Normal"/>
        <w:spacing w:lineRule="auto" w:line="480"/>
        <w:ind w:firstLine="720" w:end="0"/>
        <w:rPr/>
      </w:pPr>
      <w:r>
        <w:rPr>
          <w:rFonts w:cs="Arial"/>
        </w:rPr>
        <w:t xml:space="preserve">There is an urgent need for the Commission and the EOB to undertake immediate actions under Section 372(f).  An emergency generation supply condition in California is a well-established fact.  Despite California’s growing electricity shortage, and the clear mandate of the California Legislature, </w:t>
      </w:r>
      <w:r>
        <w:rPr/>
        <w:t>the ISO has adopted policies and implemented tariffs that are inappropriately discouraging the interconnection of new and retention of existing self-generation and cogeneration resources.  These collective actions have been undertaken in various proceedings both before the ISO and the Federal Energy Regulatory Commission.</w:t>
      </w:r>
    </w:p>
    <w:p>
      <w:pPr>
        <w:pStyle w:val="BlockText"/>
        <w:spacing w:lineRule="auto" w:line="480" w:before="0" w:after="0"/>
        <w:ind w:firstLine="720" w:start="0" w:end="0"/>
        <w:rPr/>
      </w:pPr>
      <w:r>
        <w:rPr/>
        <w:t xml:space="preserve">There are four specific proceedings that demonstrate the offending policies and actions undertaken by the ISO that conflict with the objectives of Section 372(f).  These four proceedings are not intended to be an exhaustive list of all Section 372(f) offending actions that the ISO has undertaken.  The four proceedings are:  (1) the Commission’s Distributed Generation Rulemaking (R.99-10-025); (2) the ISO’s Transmission Access Charge tariff filed at FERC (Docket No. ER00-2019); (3) the ISO’s Grid Management Charge tariff filed at FERC (Docket No. ER00-____); and, (4) the ISO’s Participating Generator Agreement proceeding at FERC (Docket </w:t>
      </w:r>
      <w:r>
        <w:rPr>
          <w:bCs/>
        </w:rPr>
        <w:t>Nos. ER98-997-000 and ER98-1309-000).  A summary description of each proceeding and the issues presented is as follows:</w:t>
      </w:r>
    </w:p>
    <w:p>
      <w:pPr>
        <w:pStyle w:val="Normal"/>
        <w:numPr>
          <w:ilvl w:val="0"/>
          <w:numId w:val="9"/>
        </w:numPr>
        <w:spacing w:lineRule="auto" w:line="480"/>
        <w:ind w:hanging="720" w:start="720" w:end="0"/>
        <w:rPr>
          <w:rFonts w:cs="Arial"/>
        </w:rPr>
      </w:pPr>
      <w:r>
        <w:rPr>
          <w:rFonts w:cs="Arial"/>
          <w:b/>
          <w:bCs/>
          <w:u w:val="single"/>
        </w:rPr>
        <w:t>Distributed Generation Rulemaking (R.99-10-025).</w:t>
      </w:r>
      <w:r>
        <w:rPr>
          <w:rFonts w:cs="Arial"/>
        </w:rPr>
        <w:t xml:space="preserve">  The ISO threat in this proceeding is to impose its flawed policies on distributed generation resources.  The reversal of the existing Commission policies and the substitution of the ISO’s policies will severely impair, if not eliminate, the cost effective development of distributed generation.  The Commission’s rulemaking is to establish the interconnection, metering, billing, scheduling and operational conditions for distributed generation.  The ISO has advocated the imposition of unnecessary, burdensome, and cost-prohibitive requirements on retail customer-owned generation and associated load.  These requirements call for: (a) the costly and unnecessary installation of separate and duplicative ISO revenue quality meters on both the customer’s generation and load, rather than relying on a single net meter; (b) the administratively burdensome and costly requirement to retain a scheduling coordinator to separately schedule load and generation from a retail customer’s facility; (c) the unreasonable imposition of charges for, and acquisition of, excess replacement reserves to serve load that is served by the customer’s installed generation, even though the customer pays for Commission jurisdictional standby service in the event of a generator outage; and, (d) the replacement of long standing Commission-established rules for the interconnection of customer-owned generation with the ISO’s costly, unneeded and uneconomic scheme.  The change from the Commission’s policies in terms of costs associated with interconnection and administrative burdens will undeniably discourage new generation from interconnecting with the California electric system.  For existing operations, these ISO requirements represent a dramatic departure from existing rules and interconnection costs.  The counterintuitive economic message sent to these important generating resources under the ISO’s proposals is to “island” or leave the interconnected system to avoid the imposition of unreasonable charges and unacceptable operating constraints.</w:t>
      </w:r>
    </w:p>
    <w:p>
      <w:pPr>
        <w:pStyle w:val="Normal"/>
        <w:spacing w:lineRule="auto" w:line="480"/>
        <w:rPr>
          <w:rFonts w:cs="Arial"/>
        </w:rPr>
      </w:pPr>
      <w:r>
        <w:rPr>
          <w:rFonts w:cs="Arial"/>
        </w:rPr>
      </w:r>
    </w:p>
    <w:p>
      <w:pPr>
        <w:pStyle w:val="Normal"/>
        <w:numPr>
          <w:ilvl w:val="0"/>
          <w:numId w:val="9"/>
        </w:numPr>
        <w:spacing w:lineRule="auto" w:line="480"/>
        <w:ind w:hanging="720" w:start="720" w:end="0"/>
        <w:rPr>
          <w:rFonts w:cs="Arial"/>
        </w:rPr>
      </w:pPr>
      <w:r>
        <w:rPr>
          <w:rFonts w:cs="Arial"/>
          <w:b/>
          <w:bCs/>
          <w:u w:val="single"/>
        </w:rPr>
        <w:t>Transmission Access Charge (TAC) tariff (FERC Docket No. ER00-2019).</w:t>
      </w:r>
      <w:r>
        <w:rPr>
          <w:rFonts w:cs="Arial"/>
        </w:rPr>
        <w:t xml:space="preserve">  The ISO threat in this proceeding is to unreasonably impose charges for load served by retail customer-owned generation when the load rarely or never relies upon the transmission grid for service.  The TAC is assessed by the ISO based upon the “gross” load of a customer relying on retail customer-owned generation.  This means the allocation is based upon the potential load, as opposed to the actual load place on the system by the retail generation customer.  Significantly, when the load does rely on the transmission grid, it is for the delivery of standby service pursuant to Commission jurisdictional rates.  These rates already include charges for access to the transmission grid allocated to the standby service provider, the interconnected distribution utility.  The ISO TAC tariff establishes the rate for transmission access to the ISO controlled grid, and determines how these costs will be allocated to those who use the grid.  The TAC is allocated on the basis of load that withdraws power from the grid, with the glaring exception of the customer load served by customer-owned generation.  For a customer load that is served by retail customer-owned generation, the “gross” load of the customer is assessed the TAC.  This means that regardless of the investment and operation of the retail customer-owned generation, the customer is charged the TAC as though the generation was never operating and the load was always operating at one hundred percent of capacity.  This patently discriminatory allocation scheme economically punishes customers who make the investment in self-generation.  A customer without self-generation is allocated TAC based upon the power that is actually metered and withdrawn from the grid.  If the customer withdraws no power, there is no TAC.  A customer with self-generation under the ISO-proposed scheme will pay TAC for one hundred percent of the load even if the customer’s generator is serving the entirety of the load.  The ISO’s TAC allocation has an interesting twist between new and existing generation.  For loads served by retail customer-owned generation as of March 1, 2000, the TAC does not apply; however the TAC does apply to all “new” loads served by retail customer-owned generation.  This policy unreasonably imposes a charge on load that might be served by new generation, while recognizing that the imposition of the charge on existing generation is inappropriate.  The ISO’s position is in contravention of established ratemaking principles and legal precedents applicable to retail customer-owned generation.  The discriminatory economic penalty of the TAC allocation sends a counterintuitive message to the retail customer-owned generation market.  The message is to discourage the development or installation of new generation in order to avoid the unreasonable TAC allocation on loads that do not use the ISO system.  The Commission is an intervenor in this FERC proceeding, but has not taken a position on Section 372(f) issues presented in the docket.</w:t>
      </w:r>
    </w:p>
    <w:p>
      <w:pPr>
        <w:pStyle w:val="Normal"/>
        <w:spacing w:lineRule="auto" w:line="480"/>
        <w:rPr>
          <w:rFonts w:cs="Arial"/>
        </w:rPr>
      </w:pPr>
      <w:r>
        <w:rPr>
          <w:rFonts w:cs="Arial"/>
        </w:rPr>
      </w:r>
    </w:p>
    <w:p>
      <w:pPr>
        <w:pStyle w:val="Normal"/>
        <w:numPr>
          <w:ilvl w:val="0"/>
          <w:numId w:val="9"/>
        </w:numPr>
        <w:spacing w:lineRule="auto" w:line="480"/>
        <w:ind w:hanging="720" w:start="720" w:end="0"/>
        <w:rPr>
          <w:rFonts w:cs="Arial"/>
        </w:rPr>
      </w:pPr>
      <w:r>
        <w:rPr>
          <w:rFonts w:cs="Arial"/>
          <w:b/>
          <w:bCs/>
          <w:u w:val="single"/>
        </w:rPr>
        <w:t>Grid Management Charge (GMC) tariff (FERC Docket No. ER00-____).</w:t>
      </w:r>
      <w:r>
        <w:rPr>
          <w:rFonts w:cs="Arial"/>
        </w:rPr>
        <w:t xml:space="preserve">  The ISO threat in this proceeding is to impose overhead charges for managing the grid on load served by new retail customer-owned generation even though the load rarely relies on the grid for service.  The GMC proceeding is to establish the level and allocate costs associated with the administrative management of the ISO controlled grid.  The ISO has approved a GMC tariff revision, recently filed at FERC, which allocates the GMC to customer load using the ISO controlled grid.  In a manner similar to the TAC allocation, the ISO’s proposal for the GMC will apply to load served by retail customer-owned generation in a manner different than other customer load.  The GMC is charged to load served by retail customer-owned generation on a “gross” as opposed to “net” basis.  In short, the presumption in the ISO’s allocation scheme for the GMC is that one hundred percent of the load served by retail customer-owned generation is withdrawing power from the grid even when the load is fully served by the customer’s generation.  Unlike the TAC allocation there is no GMC exemption for load served by existing retail customer-owned generation.  The ISO’s allocation scheme is discriminatory, unlawful in manner and in violation of the principle of cost causation.  For the purposes of Section 372(f), the ISO’s action unreasonably discourages the maintenance of existing retail customer-owned generation resources, and the connection of new retail customer-owned generating resources for California.  Intervention dates have not yet been set at FERC for this proceeding.</w:t>
      </w:r>
    </w:p>
    <w:p>
      <w:pPr>
        <w:pStyle w:val="Normal"/>
        <w:spacing w:lineRule="auto" w:line="480"/>
        <w:rPr>
          <w:rFonts w:cs="Arial"/>
        </w:rPr>
      </w:pPr>
      <w:r>
        <w:rPr>
          <w:rFonts w:cs="Arial"/>
        </w:rPr>
      </w:r>
    </w:p>
    <w:p>
      <w:pPr>
        <w:pStyle w:val="Normal"/>
        <w:numPr>
          <w:ilvl w:val="0"/>
          <w:numId w:val="9"/>
        </w:numPr>
        <w:spacing w:lineRule="auto" w:line="480"/>
        <w:ind w:hanging="720" w:start="720" w:end="0"/>
        <w:rPr>
          <w:rFonts w:cs="Arial"/>
        </w:rPr>
      </w:pPr>
      <w:r>
        <w:rPr>
          <w:rFonts w:cs="Arial"/>
          <w:b/>
          <w:bCs/>
          <w:u w:val="single"/>
        </w:rPr>
        <w:t>Participating Generator Agreement (PGA) Proceeding (FERC Docket Nos. ER98-997-000 and ER98-1309-000).</w:t>
      </w:r>
      <w:r>
        <w:rPr>
          <w:rFonts w:cs="Arial"/>
        </w:rPr>
        <w:t xml:space="preserve">  The ISO threat in this proceeding is to contractually impose all of the unreasonable charges and inapposite operational conditions of the ISO tariff and protocols on load served by retail customer-owned generation.  Under the ISO tariff, all power producers delivering power over the ISO grid, or participating in the ISO’s ancillary services market, are required to execute a Participating Generator Agreement.  As a result, any existing retail customer-owned generator who wants to sell power or ancillary services over the grid in excess of an existing utility power purchase agreement is subject to a PGA.  In addition, any new retail customer-owned generator is compelled to execute a PGA in order to deliver power to the Power Exchange or the ISO or to any other consumer using the ISO controlled grid.  The ISO’s PGA fails to provide for the unique requirements of retail customer-owned generation.  The ISO’s PGA ignores the thermal generation requirements of a cogeneration operation, and imposes curtailment and operational conditions that cannot be sustained by a retail customer’s operation.  The ISO’s PGA will require separate metering, deny net metering of integrated load and generation, and impose unnecessary costs for the purchase of unneeded ancillary services (reserves) for load served by retail customer-owned generation.  Once again, the ISO’s policies will eliminate the California policies that have served to provide the state with reliable, cost effective and environmentally sensitive retail customer-owned generation for over twenty years.  Testimony is currently being filed in this proceeding, and hearings are scheduled to begin at FERC on January 23, 2001.  Neither the Commission nor the EOB are parties to this proceeding.</w:t>
      </w:r>
    </w:p>
    <w:p>
      <w:pPr>
        <w:pStyle w:val="Normal"/>
        <w:spacing w:lineRule="auto" w:line="480"/>
        <w:ind w:firstLine="720" w:end="0"/>
        <w:rPr>
          <w:rFonts w:cs="Arial"/>
        </w:rPr>
      </w:pPr>
      <w:r>
        <w:rPr>
          <w:rFonts w:cs="Arial"/>
        </w:rPr>
        <w:t>The ISO’s actions are short sighted and detrimental to the interests of the people of California.  Retail customer-owned generation empowers consumer choice, supports the competitiveness of California business and industry, enhances the reliability of the electric grid, is fuel efficient, and environmentally beneficial.  The ISO’s policies are and will discourage the development and interconnection of these resources.</w:t>
      </w:r>
    </w:p>
    <w:p>
      <w:pPr>
        <w:pStyle w:val="BodyTextIndent3"/>
        <w:keepNext w:val="true"/>
        <w:rPr>
          <w:rFonts w:cs="Times New Roman"/>
          <w:b/>
          <w:bCs/>
        </w:rPr>
      </w:pPr>
      <w:r>
        <w:rPr>
          <w:rFonts w:cs="Times New Roman"/>
          <w:b/>
          <w:bCs/>
        </w:rPr>
        <w:t>H.</w:t>
        <w:tab/>
        <w:t>The Commission and EOB Should Undertake Specific Remedial Actions Immediately</w:t>
      </w:r>
    </w:p>
    <w:p>
      <w:pPr>
        <w:pStyle w:val="Normal"/>
        <w:rPr>
          <w:rFonts w:cs="Times New Roman"/>
          <w:b/>
          <w:bCs/>
        </w:rPr>
      </w:pPr>
      <w:r>
        <w:rPr>
          <w:rFonts w:cs="Times New Roman"/>
          <w:b/>
          <w:bCs/>
        </w:rPr>
      </w:r>
    </w:p>
    <w:p>
      <w:pPr>
        <w:pStyle w:val="BodyTextIn"/>
        <w:widowControl/>
        <w:autoSpaceDE w:val="true"/>
        <w:rPr>
          <w:szCs w:val="20"/>
        </w:rPr>
      </w:pPr>
      <w:r>
        <w:rPr>
          <w:szCs w:val="20"/>
        </w:rPr>
        <w:t>Section 372(f) compels the Commission and the EOB to undertake remedial actions regarding the ISO’s objectionable policies.  The ISO is a FERC jurisdictional entity.  In light of this fact, the CPUC and the EOB should actively intervene at FERC (and before other oversight bodies and forums) to advocate the elimination of policies that conflict with Section 372(f).  More directly, with regard to the Commission’s distributed generation rulemaking, several guiding policies regarding retail customer-owned generation should be adopted and sustained.  The proposed remedial actions for the Commission and the EOB are as follows:</w:t>
      </w:r>
    </w:p>
    <w:p>
      <w:pPr>
        <w:pStyle w:val="BodyTextIn"/>
        <w:widowControl/>
        <w:numPr>
          <w:ilvl w:val="0"/>
          <w:numId w:val="8"/>
        </w:numPr>
        <w:autoSpaceDE w:val="true"/>
        <w:spacing w:lineRule="auto" w:line="240"/>
        <w:ind w:hanging="360" w:start="1512" w:end="0"/>
        <w:rPr>
          <w:szCs w:val="20"/>
        </w:rPr>
      </w:pPr>
      <w:r>
        <w:rPr>
          <w:szCs w:val="20"/>
        </w:rPr>
        <w:t>Immediately intervene in the FERC proceedings listed herein and undertake the submission of testimony, pleadings or briefs, and otherwise advocate the retention of existing Commission policies regarding retail customer-owned generation.</w:t>
      </w:r>
    </w:p>
    <w:p>
      <w:pPr>
        <w:pStyle w:val="BodyTextIn"/>
        <w:widowControl/>
        <w:autoSpaceDE w:val="true"/>
        <w:spacing w:lineRule="auto" w:line="240"/>
        <w:ind w:hanging="0" w:end="0"/>
        <w:rPr>
          <w:szCs w:val="20"/>
        </w:rPr>
      </w:pPr>
      <w:r>
        <w:rPr>
          <w:szCs w:val="20"/>
        </w:rPr>
      </w:r>
    </w:p>
    <w:p>
      <w:pPr>
        <w:pStyle w:val="BodyTextIn"/>
        <w:widowControl/>
        <w:numPr>
          <w:ilvl w:val="0"/>
          <w:numId w:val="8"/>
        </w:numPr>
        <w:autoSpaceDE w:val="true"/>
        <w:spacing w:lineRule="auto" w:line="240"/>
        <w:ind w:hanging="360" w:start="1512" w:end="0"/>
        <w:rPr>
          <w:rFonts w:cs="Arial"/>
        </w:rPr>
      </w:pPr>
      <w:r>
        <w:rPr>
          <w:rFonts w:cs="Arial"/>
        </w:rPr>
        <w:t>Establish standards in all proceedings to ensure that load served by retail customer-owned generation shall not incur fees or costs associated with the transmission or distribution of electricity except to the extent such load physically withdraws energy from the transmission or distribution grid in the purchase of supplemental, backup, standby or maintenance service.</w:t>
      </w:r>
    </w:p>
    <w:p>
      <w:pPr>
        <w:pStyle w:val="BodyTextIn"/>
        <w:widowControl/>
        <w:autoSpaceDE w:val="true"/>
        <w:spacing w:lineRule="auto" w:line="240"/>
        <w:ind w:hanging="0" w:end="0"/>
        <w:rPr>
          <w:rFonts w:cs="Arial"/>
        </w:rPr>
      </w:pPr>
      <w:r>
        <w:rPr>
          <w:rFonts w:cs="Arial"/>
        </w:rPr>
      </w:r>
    </w:p>
    <w:p>
      <w:pPr>
        <w:pStyle w:val="BodyTextIn"/>
        <w:widowControl/>
        <w:numPr>
          <w:ilvl w:val="0"/>
          <w:numId w:val="8"/>
        </w:numPr>
        <w:autoSpaceDE w:val="true"/>
        <w:spacing w:lineRule="auto" w:line="240"/>
        <w:ind w:hanging="360" w:start="1512" w:end="0"/>
        <w:rPr/>
      </w:pPr>
      <w:r>
        <w:rPr>
          <w:rFonts w:cs="Arial"/>
        </w:rPr>
        <w:t>Establish just and reasonable supplemental, backup, standby and maintenance service rates for loads served by retail customer-owned generation.  Such rates:  (i) shall take into account the diversity of all customer loads served by the service in the allocation of costs, (ii) shall not be based upon an assumption that unscheduled generator outages or other reductions in electric output by all retail customer-owned generation facilities will occur simultaneously or during the system peak or both, and (iii) shall take into account the extent to which scheduled outages of the retail customer-owned generation facility can be coordinated with the interconnected utility.</w:t>
      </w:r>
    </w:p>
    <w:p>
      <w:pPr>
        <w:pStyle w:val="BodyTextIn"/>
        <w:widowControl/>
        <w:autoSpaceDE w:val="true"/>
        <w:spacing w:lineRule="auto" w:line="240"/>
        <w:ind w:hanging="0" w:end="0"/>
        <w:rPr/>
      </w:pPr>
      <w:r>
        <w:rPr/>
      </w:r>
    </w:p>
    <w:p>
      <w:pPr>
        <w:pStyle w:val="BodyTextIn"/>
        <w:widowControl/>
        <w:autoSpaceDE w:val="true"/>
        <w:spacing w:lineRule="auto" w:line="240"/>
        <w:ind w:hanging="0" w:end="0"/>
        <w:rPr/>
      </w:pPr>
      <w:r>
        <w:rPr/>
      </w:r>
    </w:p>
    <w:p>
      <w:pPr>
        <w:pStyle w:val="BlockText"/>
        <w:keepLines/>
        <w:widowControl/>
        <w:spacing w:lineRule="auto" w:line="480" w:before="0" w:after="0"/>
        <w:ind w:start="0" w:end="0"/>
        <w:rPr>
          <w:b/>
          <w:u w:val="single"/>
        </w:rPr>
      </w:pPr>
      <w:r>
        <w:rPr>
          <w:b/>
        </w:rPr>
        <w:t>II.</w:t>
        <w:tab/>
        <w:t>PARTIES</w:t>
      </w:r>
    </w:p>
    <w:p>
      <w:pPr>
        <w:pStyle w:val="BlockText"/>
        <w:keepLines/>
        <w:widowControl/>
        <w:spacing w:lineRule="auto" w:line="480" w:before="0" w:after="0"/>
        <w:ind w:firstLine="720" w:start="0" w:end="0"/>
        <w:rPr/>
      </w:pPr>
      <w:r>
        <w:rPr/>
        <w:t>CAC</w:t>
      </w:r>
      <w:r>
        <w:rPr>
          <w:rStyle w:val="FootnoteCharacters"/>
          <w:rStyle w:val="FootnoteReference"/>
        </w:rPr>
        <w:footnoteReference w:id="12"/>
      </w:r>
      <w:r>
        <w:rPr/>
        <w:t xml:space="preserve"> and EPUC</w:t>
      </w:r>
      <w:r>
        <w:rPr>
          <w:rStyle w:val="FootnoteCharacters"/>
          <w:rStyle w:val="FootnoteReference"/>
        </w:rPr>
        <w:footnoteReference w:id="13"/>
      </w:r>
      <w:r>
        <w:rPr/>
        <w:t xml:space="preserve"> have an active interest in the viability of existing and new cogeneration and self-generation facilities.  Communications and correspondence regarding this proceeding should be directed to:</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keepNext w:val="true"/>
              <w:rPr/>
            </w:pPr>
            <w:r>
              <w:rPr/>
              <w:t>Evelyn K. Elsesser</w:t>
            </w:r>
          </w:p>
          <w:p>
            <w:pPr>
              <w:pStyle w:val="Normal"/>
              <w:keepNext w:val="true"/>
              <w:rPr/>
            </w:pPr>
            <w:r>
              <w:rPr/>
              <w:t>Linda Y. Sherif</w:t>
            </w:r>
          </w:p>
          <w:p>
            <w:pPr>
              <w:pStyle w:val="Normal"/>
              <w:keepNext w:val="true"/>
              <w:rPr/>
            </w:pPr>
            <w:r>
              <w:rPr/>
              <w:t>Alcantar &amp; Elsesser, LLP</w:t>
            </w:r>
          </w:p>
          <w:p>
            <w:pPr>
              <w:pStyle w:val="Normal"/>
              <w:keepNext w:val="true"/>
              <w:rPr/>
            </w:pPr>
            <w:r>
              <w:rPr/>
              <w:t>One Embarcadero Center, Suite 2420</w:t>
            </w:r>
          </w:p>
          <w:p>
            <w:pPr>
              <w:pStyle w:val="Normal"/>
              <w:keepNext w:val="true"/>
              <w:rPr/>
            </w:pPr>
            <w:r>
              <w:rPr/>
              <w:t>San Francisco, CA  94111</w:t>
            </w:r>
          </w:p>
          <w:p>
            <w:pPr>
              <w:pStyle w:val="Normal"/>
              <w:keepNext w:val="true"/>
              <w:rPr/>
            </w:pPr>
            <w:r>
              <w:rPr/>
              <w:t>415.421.4143 phone</w:t>
            </w:r>
          </w:p>
          <w:p>
            <w:pPr>
              <w:pStyle w:val="Normal"/>
              <w:keepNext w:val="true"/>
              <w:rPr/>
            </w:pPr>
            <w:r>
              <w:rPr/>
              <w:t>415.989.1263 fax</w:t>
            </w:r>
          </w:p>
          <w:p>
            <w:pPr>
              <w:pStyle w:val="Normal"/>
              <w:keepNext w:val="true"/>
              <w:rPr/>
            </w:pPr>
            <w:hyperlink r:id="rId16">
              <w:r>
                <w:rPr>
                  <w:rStyle w:val="Hyperlink"/>
                </w:rPr>
                <w:t>eke@aelaw.com</w:t>
              </w:r>
            </w:hyperlink>
          </w:p>
          <w:p>
            <w:pPr>
              <w:pStyle w:val="Normal"/>
              <w:keepNext w:val="true"/>
              <w:rPr/>
            </w:pPr>
            <w:hyperlink r:id="rId17">
              <w:r>
                <w:rPr>
                  <w:rStyle w:val="Hyperlink"/>
                  <w:lang w:val="fr-FR"/>
                </w:rPr>
                <w:t>lys@aelaw.com</w:t>
              </w:r>
            </w:hyperlink>
            <w:r>
              <w:rPr>
                <w:lang w:val="fr-FR"/>
              </w:rPr>
              <w:t xml:space="preserve"> </w:t>
            </w:r>
          </w:p>
          <w:p>
            <w:pPr>
              <w:pStyle w:val="Normal"/>
              <w:keepNext w:val="true"/>
              <w:rPr>
                <w:lang w:val="fr-FR"/>
              </w:rPr>
            </w:pPr>
            <w:r>
              <w:rPr>
                <w:lang w:val="fr-FR"/>
              </w:rPr>
            </w:r>
          </w:p>
        </w:tc>
        <w:tc>
          <w:tcPr>
            <w:tcW w:w="4428" w:type="dxa"/>
            <w:tcBorders/>
          </w:tcPr>
          <w:p>
            <w:pPr>
              <w:pStyle w:val="Normal"/>
              <w:keepNext w:val="true"/>
              <w:rPr>
                <w:lang w:val="fr-FR"/>
              </w:rPr>
            </w:pPr>
            <w:r>
              <w:rPr>
                <w:lang w:val="fr-FR"/>
              </w:rPr>
              <w:t>Michael P. Alcantar</w:t>
            </w:r>
          </w:p>
          <w:p>
            <w:pPr>
              <w:pStyle w:val="Normal"/>
              <w:keepNext w:val="true"/>
              <w:rPr>
                <w:lang w:val="fr-FR"/>
              </w:rPr>
            </w:pPr>
            <w:r>
              <w:rPr>
                <w:lang w:val="fr-FR"/>
              </w:rPr>
              <w:t>Donald E. Brookhyser</w:t>
            </w:r>
          </w:p>
          <w:p>
            <w:pPr>
              <w:pStyle w:val="Normal"/>
              <w:keepNext w:val="true"/>
              <w:rPr/>
            </w:pPr>
            <w:r>
              <w:rPr/>
              <w:t>Alcantar &amp; Elsesser, LLP</w:t>
            </w:r>
          </w:p>
          <w:p>
            <w:pPr>
              <w:pStyle w:val="Normal"/>
              <w:keepNext w:val="true"/>
              <w:rPr/>
            </w:pPr>
            <w:r>
              <w:rPr/>
              <w:t>1300 SW Fifth Avenue, Suite 1750</w:t>
            </w:r>
          </w:p>
          <w:p>
            <w:pPr>
              <w:pStyle w:val="Normal"/>
              <w:keepNext w:val="true"/>
              <w:rPr/>
            </w:pPr>
            <w:r>
              <w:rPr/>
              <w:t>Portland, OR  97201</w:t>
            </w:r>
          </w:p>
          <w:p>
            <w:pPr>
              <w:pStyle w:val="Normal"/>
              <w:keepNext w:val="true"/>
              <w:rPr/>
            </w:pPr>
            <w:r>
              <w:rPr/>
              <w:t>503.402.9900 phone</w:t>
            </w:r>
          </w:p>
          <w:p>
            <w:pPr>
              <w:pStyle w:val="Normal"/>
              <w:keepNext w:val="true"/>
              <w:rPr/>
            </w:pPr>
            <w:r>
              <w:rPr/>
              <w:t>503.402.8882 fax</w:t>
            </w:r>
          </w:p>
          <w:p>
            <w:pPr>
              <w:pStyle w:val="Normal"/>
              <w:keepNext w:val="true"/>
              <w:rPr/>
            </w:pPr>
            <w:hyperlink r:id="rId18">
              <w:r>
                <w:rPr>
                  <w:rStyle w:val="Hyperlink"/>
                </w:rPr>
                <w:t>mpa@aelaw.com</w:t>
              </w:r>
            </w:hyperlink>
            <w:r>
              <w:rPr/>
              <w:t xml:space="preserve"> </w:t>
            </w:r>
          </w:p>
          <w:p>
            <w:pPr>
              <w:pStyle w:val="Normal"/>
              <w:keepNext w:val="true"/>
              <w:rPr/>
            </w:pPr>
            <w:hyperlink r:id="rId19">
              <w:r>
                <w:rPr>
                  <w:rStyle w:val="Hyperlink"/>
                </w:rPr>
                <w:t>deb@aelaw.com</w:t>
              </w:r>
            </w:hyperlink>
          </w:p>
          <w:p>
            <w:pPr>
              <w:pStyle w:val="Normal"/>
              <w:keepNext w:val="true"/>
              <w:rPr/>
            </w:pPr>
            <w:r>
              <w:rPr/>
            </w:r>
          </w:p>
        </w:tc>
      </w:tr>
      <w:tr>
        <w:trPr/>
        <w:tc>
          <w:tcPr>
            <w:tcW w:w="4428" w:type="dxa"/>
            <w:tcBorders/>
          </w:tcPr>
          <w:p>
            <w:pPr>
              <w:pStyle w:val="Normal"/>
              <w:keepLines/>
              <w:snapToGrid w:val="false"/>
              <w:rPr/>
            </w:pPr>
            <w:r>
              <w:rPr/>
            </w:r>
          </w:p>
          <w:p>
            <w:pPr>
              <w:pStyle w:val="Normal"/>
              <w:keepLines/>
              <w:rPr/>
            </w:pPr>
            <w:r>
              <w:rPr/>
            </w:r>
          </w:p>
          <w:p>
            <w:pPr>
              <w:pStyle w:val="Normal"/>
              <w:keepLines/>
              <w:rPr/>
            </w:pPr>
            <w:r>
              <w:rPr/>
            </w:r>
          </w:p>
        </w:tc>
        <w:tc>
          <w:tcPr>
            <w:tcW w:w="4428" w:type="dxa"/>
            <w:tcBorders/>
          </w:tcPr>
          <w:p>
            <w:pPr>
              <w:pStyle w:val="Normal"/>
              <w:snapToGrid w:val="false"/>
              <w:rPr/>
            </w:pPr>
            <w:r>
              <w:rPr/>
            </w:r>
          </w:p>
        </w:tc>
      </w:tr>
      <w:tr>
        <w:trPr/>
        <w:tc>
          <w:tcPr>
            <w:tcW w:w="4428" w:type="dxa"/>
            <w:tcBorders/>
          </w:tcPr>
          <w:p>
            <w:pPr>
              <w:pStyle w:val="Normal"/>
              <w:keepLines/>
              <w:rPr/>
            </w:pPr>
            <w:r>
              <w:rPr/>
              <w:t>Donald Schoenbeck</w:t>
            </w:r>
          </w:p>
          <w:p>
            <w:pPr>
              <w:pStyle w:val="Normal"/>
              <w:keepLines/>
              <w:rPr/>
            </w:pPr>
            <w:r>
              <w:rPr/>
              <w:t>RCS</w:t>
            </w:r>
          </w:p>
          <w:p>
            <w:pPr>
              <w:pStyle w:val="Normal"/>
              <w:keepLines/>
              <w:rPr/>
            </w:pPr>
            <w:r>
              <w:rPr/>
              <w:t>900 Washington Street, Suite 1000</w:t>
            </w:r>
          </w:p>
          <w:p>
            <w:pPr>
              <w:pStyle w:val="Normal"/>
              <w:keepLines/>
              <w:rPr>
                <w:lang w:val="fr-FR"/>
              </w:rPr>
            </w:pPr>
            <w:r>
              <w:rPr>
                <w:lang w:val="fr-FR"/>
              </w:rPr>
              <w:t>Vancouver, WA  98660</w:t>
            </w:r>
          </w:p>
          <w:p>
            <w:pPr>
              <w:pStyle w:val="Normal"/>
              <w:keepLines/>
              <w:rPr>
                <w:lang w:val="fr-FR"/>
              </w:rPr>
            </w:pPr>
            <w:r>
              <w:rPr>
                <w:lang w:val="fr-FR"/>
              </w:rPr>
              <w:t>360.737.3877 phone</w:t>
            </w:r>
          </w:p>
          <w:p>
            <w:pPr>
              <w:pStyle w:val="Normal"/>
              <w:keepLines/>
              <w:rPr>
                <w:lang w:val="fr-FR"/>
              </w:rPr>
            </w:pPr>
            <w:r>
              <w:rPr>
                <w:lang w:val="fr-FR"/>
              </w:rPr>
              <w:t>360.694.3082 fax</w:t>
            </w:r>
          </w:p>
          <w:p>
            <w:pPr>
              <w:pStyle w:val="Normal"/>
              <w:keepLines/>
              <w:rPr>
                <w:lang w:val="fr-FR"/>
              </w:rPr>
            </w:pPr>
            <w:hyperlink r:id="rId20">
              <w:r>
                <w:rPr>
                  <w:rStyle w:val="Hyperlink"/>
                  <w:lang w:val="fr-FR"/>
                </w:rPr>
                <w:t>dws@keywaycorp.com</w:t>
              </w:r>
            </w:hyperlink>
          </w:p>
          <w:p>
            <w:pPr>
              <w:pStyle w:val="Normal"/>
              <w:rPr>
                <w:lang w:val="fr-FR"/>
              </w:rPr>
            </w:pPr>
            <w:r>
              <w:rPr>
                <w:lang w:val="fr-FR"/>
              </w:rPr>
            </w:r>
          </w:p>
        </w:tc>
        <w:tc>
          <w:tcPr>
            <w:tcW w:w="4428" w:type="dxa"/>
            <w:tcBorders/>
          </w:tcPr>
          <w:p>
            <w:pPr>
              <w:pStyle w:val="Normal"/>
              <w:rPr/>
            </w:pPr>
            <w:r>
              <w:rPr/>
              <w:t>Jim Ross</w:t>
            </w:r>
          </w:p>
          <w:p>
            <w:pPr>
              <w:pStyle w:val="CaptionBox"/>
              <w:widowControl/>
              <w:autoSpaceDE w:val="true"/>
              <w:rPr>
                <w:szCs w:val="20"/>
              </w:rPr>
            </w:pPr>
            <w:r>
              <w:rPr>
                <w:szCs w:val="20"/>
              </w:rPr>
              <w:t>RCS</w:t>
            </w:r>
          </w:p>
          <w:p>
            <w:pPr>
              <w:pStyle w:val="Normal"/>
              <w:rPr/>
            </w:pPr>
            <w:r>
              <w:rPr/>
              <w:t>500 Chesterfield Center, Suite 320</w:t>
            </w:r>
          </w:p>
          <w:p>
            <w:pPr>
              <w:pStyle w:val="Normal"/>
              <w:rPr/>
            </w:pPr>
            <w:r>
              <w:rPr/>
              <w:t>Chesterfield, MO 63017</w:t>
            </w:r>
          </w:p>
          <w:p>
            <w:pPr>
              <w:pStyle w:val="Normal"/>
              <w:rPr/>
            </w:pPr>
            <w:r>
              <w:rPr/>
              <w:t>636.530.9544 phone</w:t>
            </w:r>
          </w:p>
          <w:p>
            <w:pPr>
              <w:pStyle w:val="Normal"/>
              <w:rPr/>
            </w:pPr>
            <w:r>
              <w:rPr/>
              <w:t>636.530.9447 fax</w:t>
            </w:r>
          </w:p>
          <w:p>
            <w:pPr>
              <w:pStyle w:val="Normal"/>
              <w:rPr/>
            </w:pPr>
            <w:hyperlink r:id="rId21">
              <w:r>
                <w:rPr>
                  <w:rStyle w:val="Hyperlink"/>
                </w:rPr>
                <w:t>rcsstl@cdmnet.com</w:t>
              </w:r>
            </w:hyperlink>
          </w:p>
          <w:p>
            <w:pPr>
              <w:pStyle w:val="Normal"/>
              <w:rPr/>
            </w:pPr>
            <w:r>
              <w:rPr/>
            </w:r>
          </w:p>
        </w:tc>
      </w:tr>
    </w:tbl>
    <w:p>
      <w:pPr>
        <w:pStyle w:val="BlockText"/>
        <w:spacing w:lineRule="auto" w:line="480" w:before="0" w:after="0"/>
        <w:ind w:start="0" w:end="0"/>
        <w:rPr/>
      </w:pPr>
      <w:r>
        <w:rPr/>
      </w:r>
    </w:p>
    <w:p>
      <w:pPr>
        <w:pStyle w:val="BlockText"/>
        <w:spacing w:lineRule="auto" w:line="480" w:before="0" w:after="0"/>
        <w:ind w:firstLine="720" w:start="0" w:end="0"/>
        <w:rPr/>
      </w:pPr>
      <w:r>
        <w:rPr/>
        <w:t>The ISO is a not-for-profit corporation incorporated under California law.  The ISO operates the transmission system owned by Pacific Gas &amp; Electric Company (PG&amp;E), Southern California Edison Company (SCE), and San Diego Gas &amp; Electric Company (SDG&amp;E).  A copy of this Application has been served on the ISO via overnight mail at the following address:</w:t>
      </w:r>
      <w:r>
        <w:rPr>
          <w:rStyle w:val="FootnoteCharacters"/>
          <w:rStyle w:val="FootnoteReference"/>
        </w:rPr>
        <w:footnoteReference w:id="14"/>
      </w:r>
    </w:p>
    <w:p>
      <w:pPr>
        <w:pStyle w:val="BlockText"/>
        <w:spacing w:before="0" w:after="0"/>
        <w:ind w:start="0" w:end="0"/>
        <w:rPr/>
      </w:pPr>
      <w:r>
        <w:rPr/>
      </w:r>
    </w:p>
    <w:p>
      <w:pPr>
        <w:pStyle w:val="BlockText"/>
        <w:spacing w:before="0" w:after="0"/>
        <w:ind w:start="0" w:end="0"/>
        <w:rPr/>
      </w:pPr>
      <w:r>
        <w:rPr/>
      </w:r>
    </w:p>
    <w:p>
      <w:pPr>
        <w:pStyle w:val="BlockText"/>
        <w:spacing w:before="0" w:after="0"/>
        <w:ind w:start="0" w:end="0"/>
        <w:rPr/>
      </w:pPr>
      <w:r>
        <w:rPr/>
        <w:t>Charles E. Robinson</w:t>
      </w:r>
    </w:p>
    <w:p>
      <w:pPr>
        <w:pStyle w:val="BlockText"/>
        <w:spacing w:before="0" w:after="0"/>
        <w:ind w:start="0" w:end="0"/>
        <w:rPr/>
      </w:pPr>
      <w:r>
        <w:rPr/>
        <w:t>General Counsel</w:t>
      </w:r>
    </w:p>
    <w:p>
      <w:pPr>
        <w:pStyle w:val="BlockText"/>
        <w:spacing w:before="0" w:after="0"/>
        <w:ind w:start="0" w:end="0"/>
        <w:rPr/>
      </w:pPr>
      <w:r>
        <w:rPr/>
        <w:t>California Independent System Operator Corporation</w:t>
      </w:r>
    </w:p>
    <w:p>
      <w:pPr>
        <w:pStyle w:val="BlockText"/>
        <w:spacing w:before="0" w:after="0"/>
        <w:ind w:start="0" w:end="0"/>
        <w:rPr/>
      </w:pPr>
      <w:r>
        <w:rPr/>
        <w:t>151 Blue Ravine Road</w:t>
      </w:r>
    </w:p>
    <w:p>
      <w:pPr>
        <w:pStyle w:val="BlockText"/>
        <w:spacing w:before="0" w:after="0"/>
        <w:ind w:start="0" w:end="0"/>
        <w:rPr/>
      </w:pPr>
      <w:r>
        <w:rPr/>
        <w:t>Folsom, California 95630</w:t>
      </w:r>
    </w:p>
    <w:p>
      <w:pPr>
        <w:pStyle w:val="BlockText"/>
        <w:spacing w:before="0" w:after="0"/>
        <w:ind w:start="0" w:end="0"/>
        <w:rPr>
          <w:b/>
          <w:bCs/>
        </w:rPr>
      </w:pPr>
      <w:r>
        <w:rPr>
          <w:b/>
          <w:bCs/>
        </w:rPr>
      </w:r>
    </w:p>
    <w:p>
      <w:pPr>
        <w:pStyle w:val="BlockText"/>
        <w:keepNext w:val="true"/>
        <w:spacing w:lineRule="auto" w:line="480" w:before="0" w:after="0"/>
        <w:ind w:start="0" w:end="0"/>
        <w:rPr>
          <w:iCs/>
        </w:rPr>
      </w:pPr>
      <w:r>
        <w:rPr>
          <w:b/>
        </w:rPr>
        <w:t>III.</w:t>
        <w:tab/>
        <w:t>CONCLUSION</w:t>
      </w:r>
    </w:p>
    <w:p>
      <w:pPr>
        <w:pStyle w:val="BlockText"/>
        <w:keepNext w:val="true"/>
        <w:spacing w:lineRule="auto" w:line="480" w:before="0" w:after="0"/>
        <w:ind w:firstLine="720" w:start="0" w:end="0"/>
        <w:rPr>
          <w:iCs/>
        </w:rPr>
      </w:pPr>
      <w:r>
        <w:rPr>
          <w:iCs/>
        </w:rPr>
        <w:t>For all of the foregoing reasons the Commission and the EOB should immediately conduct the review required pursuant to Section 372(f).  As demonstrated herein, the ISO’s policies and actions unreasonably discourage the retention existing and the development of new retail customer-owned generation resources to the grid.  The Commission and the EOB should immediately undertake remedial actions contemplated by Section 372(f) to eliminate the ISO’s offending policies and actions.  The Commission and EOB remedial actions are critical to the menu of actions California needs to address the emergency shortage of generation capacity in the state.  The ISO’s actions seek to reverse the Commission’s long-standing treatment of California retail customer-owned generation.  There is no rational justification for this change in policy.  The Commission and the EOB should support the maintenance of policies it has fostered to encourage the development and interconnection of retail customer-owned generation.</w:t>
      </w:r>
    </w:p>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end="0"/>
        <w:rPr>
          <w:b/>
          <w:iCs/>
          <w:u w:val="single"/>
        </w:rPr>
      </w:pPr>
      <w:r>
        <w:rPr>
          <w:b/>
          <w:iCs/>
          <w:u w:val="single"/>
        </w:rPr>
      </w:r>
    </w:p>
    <w:p>
      <w:pPr>
        <w:pStyle w:val="Normal"/>
        <w:widowControl w:val="false"/>
        <w:tabs>
          <w:tab w:val="clear" w:pos="720"/>
          <w:tab w:val="left" w:pos="0" w:leader="none"/>
        </w:tabs>
        <w:autoSpaceDE w:val="false"/>
        <w:spacing w:lineRule="auto" w:line="480"/>
        <w:rPr/>
      </w:pPr>
      <w:r>
        <w:rPr/>
        <w:t xml:space="preserve">Respectfully submitted, </w:t>
      </w:r>
    </w:p>
    <w:tbl>
      <w:tblPr>
        <w:tblW w:w="9360" w:type="dxa"/>
        <w:jc w:val="center"/>
        <w:tblInd w:w="0" w:type="dxa"/>
        <w:tblLayout w:type="fixed"/>
        <w:tblCellMar>
          <w:top w:w="0" w:type="dxa"/>
          <w:start w:w="120" w:type="dxa"/>
          <w:bottom w:w="0" w:type="dxa"/>
          <w:end w:w="120" w:type="dxa"/>
        </w:tblCellMar>
      </w:tblPr>
      <w:tblGrid>
        <w:gridCol w:w="4680"/>
        <w:gridCol w:w="4680"/>
      </w:tblGrid>
      <w:tr>
        <w:trPr/>
        <w:tc>
          <w:tcPr>
            <w:tcW w:w="4680" w:type="dxa"/>
            <w:tcBorders>
              <w:top w:val="single" w:sz="6" w:space="0" w:color="FFFFFF"/>
              <w:start w:val="single" w:sz="6" w:space="0" w:color="FFFFFF"/>
              <w:bottom w:val="single" w:sz="6" w:space="0" w:color="FFFFFF"/>
              <w:end w:val="single" w:sz="6" w:space="0" w:color="FFFFFF"/>
            </w:tcBorders>
          </w:tcPr>
          <w:p>
            <w:pPr>
              <w:pStyle w:val="Normal"/>
              <w:widowControl w:val="false"/>
              <w:autoSpaceDE w:val="false"/>
              <w:ind w:start="240" w:end="0"/>
              <w:rPr>
                <w:b/>
              </w:rPr>
            </w:pPr>
            <w:r>
              <w:rPr>
                <w:b/>
              </w:rPr>
              <w:t>Energy Producers and Users Coalition</w:t>
            </w:r>
          </w:p>
          <w:p>
            <w:pPr>
              <w:pStyle w:val="Normal"/>
              <w:widowControl w:val="false"/>
              <w:autoSpaceDE w:val="false"/>
              <w:ind w:start="245" w:end="0"/>
              <w:rPr>
                <w:b/>
              </w:rPr>
            </w:pPr>
            <w:r>
              <w:rPr>
                <w:b/>
              </w:rPr>
            </w:r>
          </w:p>
          <w:p>
            <w:pPr>
              <w:pStyle w:val="Normal"/>
              <w:widowControl w:val="false"/>
              <w:autoSpaceDE w:val="false"/>
              <w:ind w:start="240" w:end="0"/>
              <w:rPr/>
            </w:pPr>
            <w:r>
              <w:rPr/>
              <w:t>___________________________</w:t>
            </w:r>
          </w:p>
          <w:p>
            <w:pPr>
              <w:pStyle w:val="Normal"/>
              <w:widowControl w:val="false"/>
              <w:autoSpaceDE w:val="false"/>
              <w:ind w:start="240" w:end="0"/>
              <w:rPr/>
            </w:pPr>
            <w:r>
              <w:rPr/>
              <w:t>Evelyn K. Elsesser</w:t>
            </w:r>
          </w:p>
          <w:p>
            <w:pPr>
              <w:pStyle w:val="Normal"/>
              <w:widowControl w:val="false"/>
              <w:autoSpaceDE w:val="false"/>
              <w:ind w:start="240" w:end="0"/>
              <w:rPr/>
            </w:pPr>
            <w:r>
              <w:rPr/>
              <w:t>Linda Sherif</w:t>
            </w:r>
          </w:p>
          <w:p>
            <w:pPr>
              <w:pStyle w:val="Normal"/>
              <w:widowControl w:val="false"/>
              <w:autoSpaceDE w:val="false"/>
              <w:ind w:start="240" w:end="0"/>
              <w:rPr/>
            </w:pPr>
            <w:r>
              <w:rPr/>
              <w:t>Alcantar &amp; Elsesser LLP</w:t>
            </w:r>
          </w:p>
          <w:p>
            <w:pPr>
              <w:pStyle w:val="Normal"/>
              <w:widowControl w:val="false"/>
              <w:autoSpaceDE w:val="false"/>
              <w:ind w:start="240" w:end="0"/>
              <w:rPr>
                <w:lang w:val="fr-FR"/>
              </w:rPr>
            </w:pPr>
            <w:r>
              <w:rPr>
                <w:lang w:val="fr-FR"/>
              </w:rPr>
              <w:t>One Embarcadero, Suite 2420</w:t>
            </w:r>
          </w:p>
          <w:p>
            <w:pPr>
              <w:pStyle w:val="Normal"/>
              <w:widowControl w:val="false"/>
              <w:autoSpaceDE w:val="false"/>
              <w:ind w:start="240" w:end="0"/>
              <w:rPr/>
            </w:pPr>
            <w:r>
              <w:rPr/>
              <w:t>San Francisco, CA  94111</w:t>
            </w:r>
          </w:p>
          <w:p>
            <w:pPr>
              <w:pStyle w:val="Normal"/>
              <w:widowControl w:val="false"/>
              <w:autoSpaceDE w:val="false"/>
              <w:ind w:start="240" w:end="0"/>
              <w:rPr/>
            </w:pPr>
            <w:r>
              <w:rPr/>
              <w:t>415.421.4143 phone</w:t>
            </w:r>
          </w:p>
          <w:p>
            <w:pPr>
              <w:pStyle w:val="Normal"/>
              <w:widowControl w:val="false"/>
              <w:autoSpaceDE w:val="false"/>
              <w:spacing w:before="0" w:after="58"/>
              <w:ind w:start="240" w:end="0"/>
              <w:rPr/>
            </w:pPr>
            <w:r>
              <w:rPr/>
              <w:t>415.989.1263 fax</w:t>
            </w:r>
          </w:p>
        </w:tc>
        <w:tc>
          <w:tcPr>
            <w:tcW w:w="4680" w:type="dxa"/>
            <w:tcBorders>
              <w:top w:val="single" w:sz="6" w:space="0" w:color="FFFFFF"/>
              <w:start w:val="single" w:sz="6" w:space="0" w:color="FFFFFF"/>
              <w:bottom w:val="single" w:sz="6" w:space="0" w:color="FFFFFF"/>
              <w:end w:val="single" w:sz="6" w:space="0" w:color="FFFFFF"/>
            </w:tcBorders>
          </w:tcPr>
          <w:p>
            <w:pPr>
              <w:pStyle w:val="Normal"/>
              <w:widowControl w:val="false"/>
              <w:autoSpaceDE w:val="false"/>
              <w:ind w:start="240" w:end="0"/>
              <w:rPr>
                <w:b/>
              </w:rPr>
            </w:pPr>
            <w:r>
              <w:rPr>
                <w:b/>
              </w:rPr>
              <w:t>Cogeneration Association of California</w:t>
            </w:r>
          </w:p>
          <w:p>
            <w:pPr>
              <w:pStyle w:val="Normal"/>
              <w:widowControl w:val="false"/>
              <w:autoSpaceDE w:val="false"/>
              <w:ind w:start="240" w:end="0"/>
              <w:rPr>
                <w:b/>
              </w:rPr>
            </w:pPr>
            <w:r>
              <w:rPr>
                <w:b/>
              </w:rPr>
            </w:r>
          </w:p>
          <w:p>
            <w:pPr>
              <w:pStyle w:val="Normal"/>
              <w:widowControl w:val="false"/>
              <w:autoSpaceDE w:val="false"/>
              <w:ind w:start="240" w:end="0"/>
              <w:rPr/>
            </w:pPr>
            <w:r>
              <w:rPr/>
              <w:t>____________________________</w:t>
            </w:r>
          </w:p>
          <w:p>
            <w:pPr>
              <w:pStyle w:val="Normal"/>
              <w:widowControl w:val="false"/>
              <w:autoSpaceDE w:val="false"/>
              <w:ind w:start="240" w:end="0"/>
              <w:rPr/>
            </w:pPr>
            <w:r>
              <w:rPr/>
              <w:t>Michael Alcantar</w:t>
            </w:r>
          </w:p>
          <w:p>
            <w:pPr>
              <w:pStyle w:val="Normal"/>
              <w:widowControl w:val="false"/>
              <w:autoSpaceDE w:val="false"/>
              <w:ind w:start="240" w:end="0"/>
              <w:rPr/>
            </w:pPr>
            <w:r>
              <w:rPr/>
              <w:t>Donald Brookhyser</w:t>
            </w:r>
          </w:p>
          <w:p>
            <w:pPr>
              <w:pStyle w:val="Normal"/>
              <w:widowControl w:val="false"/>
              <w:autoSpaceDE w:val="false"/>
              <w:ind w:start="240" w:end="0"/>
              <w:rPr/>
            </w:pPr>
            <w:r>
              <w:rPr/>
              <w:t>Alcantar &amp; Elsesser LLP</w:t>
            </w:r>
          </w:p>
          <w:p>
            <w:pPr>
              <w:pStyle w:val="Normal"/>
              <w:widowControl w:val="false"/>
              <w:autoSpaceDE w:val="false"/>
              <w:ind w:start="240" w:end="0"/>
              <w:rPr/>
            </w:pPr>
            <w:r>
              <w:rPr/>
              <w:t>1300 SW Fifth Avenue, Suite 1750</w:t>
            </w:r>
          </w:p>
          <w:p>
            <w:pPr>
              <w:pStyle w:val="Normal"/>
              <w:widowControl w:val="false"/>
              <w:autoSpaceDE w:val="false"/>
              <w:ind w:start="240" w:end="0"/>
              <w:rPr/>
            </w:pPr>
            <w:r>
              <w:rPr/>
              <w:t>Portland, OR  97201</w:t>
            </w:r>
          </w:p>
          <w:p>
            <w:pPr>
              <w:pStyle w:val="Normal"/>
              <w:widowControl w:val="false"/>
              <w:autoSpaceDE w:val="false"/>
              <w:ind w:start="240" w:end="0"/>
              <w:rPr/>
            </w:pPr>
            <w:r>
              <w:rPr/>
              <w:t>503.402.9900 phone</w:t>
            </w:r>
          </w:p>
          <w:p>
            <w:pPr>
              <w:pStyle w:val="Normal"/>
              <w:widowControl w:val="false"/>
              <w:autoSpaceDE w:val="false"/>
              <w:ind w:start="240" w:end="0"/>
              <w:rPr/>
            </w:pPr>
            <w:r>
              <w:rPr/>
              <w:t>503.402.8882 fax</w:t>
            </w:r>
          </w:p>
          <w:p>
            <w:pPr>
              <w:pStyle w:val="Normal"/>
              <w:widowControl w:val="false"/>
              <w:autoSpaceDE w:val="false"/>
              <w:spacing w:before="0" w:after="58"/>
              <w:ind w:start="240" w:end="0"/>
              <w:rPr/>
            </w:pPr>
            <w:r>
              <w:rPr/>
            </w:r>
          </w:p>
        </w:tc>
      </w:tr>
    </w:tbl>
    <w:p>
      <w:pPr>
        <w:pStyle w:val="BodyTextIn"/>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pPr>
      <w:r>
        <w:rPr>
          <w:bCs/>
        </w:rPr>
        <w:t>November 20, 2</w:t>
      </w:r>
      <w:r>
        <w:rPr/>
        <w:t>000</w:t>
      </w:r>
    </w:p>
    <w:sectPr>
      <w:footnotePr>
        <w:numFmt w:val="decimal"/>
      </w:footnotePr>
      <w:type w:val="continuous"/>
      <w:pgSz w:w="12240" w:h="15840"/>
      <w:pgMar w:left="1800" w:right="180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 Application of CAC/EPUC Pursuant to §372(f)</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6606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6606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0.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 Application of CAC/EPUC Pursuant to §372(f)</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6606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6606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0.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31</w:t>
    </w:r>
    <w:r>
      <w:rPr>
        <w:rStyle w:val="PageNumber"/>
        <w:sz w:val="20"/>
      </w:rPr>
      <w:fldChar w:fldCharType="end"/>
    </w:r>
    <w:r>
      <w:rPr>
        <w:rStyle w:val="PageNumber"/>
        <w:sz w:val="20"/>
      </w:rPr>
      <w:t xml:space="preserve"> – Application of CAC/EPUC Pursuant to §372(f)</w:t>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 Application of CAC/EPUC Pursuant to </w:t>
    </w:r>
    <w:r>
      <w:rPr>
        <w:rStyle w:val="PageNumber"/>
        <w:rFonts w:cs="Arial"/>
        <w:sz w:val="20"/>
      </w:rPr>
      <w:t>§</w:t>
    </w:r>
    <w:r>
      <w:rPr>
        <w:rStyle w:val="PageNumber"/>
        <w:sz w:val="20"/>
      </w:rPr>
      <w:t>372(f)</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rPr/>
      </w:pPr>
      <w:r>
        <w:rPr>
          <w:rStyle w:val="FootnoteCharacters"/>
        </w:rPr>
        <w:footnoteRef/>
      </w:r>
      <w:r>
        <w:rPr>
          <w:rFonts w:cs="Arial"/>
        </w:rPr>
        <w:t xml:space="preserve"> </w:t>
      </w:r>
      <w:r>
        <w:rPr>
          <w:rFonts w:cs="Arial"/>
        </w:rPr>
        <w:tab/>
        <w:t>Distributed generation facilities are retail customer-owned electric generation units that are designed to serve customer load.  These customer-owned generation facilities are located “behind the meter” connecting the customer to the ISO controlled grid.  Qualifying Facilities (QFs) are cogeneration and small power plant operations designated under the federal Public Utility Regulatory Policies Act (</w:t>
      </w:r>
      <w:r>
        <w:rPr>
          <w:rFonts w:cs="Arial"/>
          <w:i/>
          <w:iCs/>
        </w:rPr>
        <w:t>see</w:t>
      </w:r>
      <w:r>
        <w:rPr>
          <w:rFonts w:cs="Arial"/>
        </w:rPr>
        <w:t xml:space="preserve"> §§201 and 210 of Public Law No. 95-617CFR, 16 USC §2601 </w:t>
      </w:r>
      <w:r>
        <w:rPr>
          <w:rFonts w:cs="Arial"/>
          <w:i/>
          <w:iCs/>
        </w:rPr>
        <w:t>et seq.</w:t>
      </w:r>
      <w:r>
        <w:rPr>
          <w:rFonts w:cs="Arial"/>
        </w:rPr>
        <w:t>), federal regulation (</w:t>
      </w:r>
      <w:r>
        <w:rPr>
          <w:rFonts w:cs="Arial"/>
          <w:i/>
          <w:iCs/>
        </w:rPr>
        <w:t>see</w:t>
      </w:r>
      <w:r>
        <w:rPr>
          <w:rFonts w:cs="Arial"/>
        </w:rPr>
        <w:t xml:space="preserve"> </w:t>
      </w:r>
      <w:r>
        <w:rPr>
          <w:rFonts w:cs="Arial"/>
          <w:szCs w:val="24"/>
        </w:rPr>
        <w:t xml:space="preserve">18 CFR </w:t>
      </w:r>
      <w:r>
        <w:rPr>
          <w:rFonts w:cs="Arial"/>
        </w:rPr>
        <w:t>§</w:t>
      </w:r>
      <w:r>
        <w:rPr>
          <w:rFonts w:cs="Arial"/>
          <w:szCs w:val="24"/>
        </w:rPr>
        <w:t xml:space="preserve">292, </w:t>
      </w:r>
      <w:r>
        <w:rPr>
          <w:rFonts w:cs="Arial"/>
          <w:i/>
          <w:iCs/>
          <w:szCs w:val="24"/>
        </w:rPr>
        <w:t>et seq.</w:t>
      </w:r>
      <w:r>
        <w:rPr>
          <w:rFonts w:cs="Arial"/>
          <w:szCs w:val="24"/>
        </w:rPr>
        <w:t xml:space="preserve">), </w:t>
      </w:r>
      <w:r>
        <w:rPr>
          <w:rFonts w:cs="Arial"/>
        </w:rPr>
        <w:t>and California state law (</w:t>
      </w:r>
      <w:r>
        <w:rPr>
          <w:rFonts w:cs="Arial"/>
          <w:i/>
          <w:iCs/>
        </w:rPr>
        <w:t>see</w:t>
      </w:r>
      <w:r>
        <w:rPr>
          <w:rFonts w:cs="Arial"/>
        </w:rPr>
        <w:t xml:space="preserve"> Public Utilities Code §218).  QF operations may provide self-service to a customer load, or service to others under prescribed conditions.  QF operations often have the additional capacity to make sales to other entities including utilities and the ISO.</w:t>
      </w:r>
    </w:p>
    <w:p>
      <w:pPr>
        <w:pStyle w:val="FootnoteText"/>
        <w:ind w:hanging="720" w:start="720" w:end="0"/>
        <w:rPr>
          <w:rFonts w:cs="Arial"/>
        </w:rPr>
      </w:pPr>
      <w:r>
        <w:rPr>
          <w:rFonts w:cs="Arial"/>
        </w:rPr>
      </w:r>
    </w:p>
  </w:footnote>
  <w:footnote w:id="3">
    <w:p>
      <w:pPr>
        <w:pStyle w:val="Normal"/>
        <w:ind w:hanging="720" w:start="720" w:end="0"/>
        <w:rPr>
          <w:rFonts w:cs="Arial"/>
        </w:rPr>
      </w:pPr>
      <w:r>
        <w:rPr>
          <w:rStyle w:val="FootnoteCharacters"/>
        </w:rPr>
        <w:footnoteRef/>
      </w:r>
      <w:r>
        <w:rPr>
          <w:rFonts w:cs="Arial"/>
        </w:rPr>
        <w:t xml:space="preserve"> </w:t>
      </w:r>
      <w:r>
        <w:rPr>
          <w:rFonts w:cs="Arial"/>
        </w:rPr>
        <w:tab/>
      </w:r>
      <w:r>
        <w:rPr>
          <w:rFonts w:cs="Arial"/>
          <w:sz w:val="20"/>
        </w:rPr>
        <w:t>Deborah A. Le Vine, ISO Director of Contracts and Compliance, Reporter’s Transcript, pp. 1424-1425, Order Instituting Rulemaking Into Distributed Generation, R.99-10-025, filed October 21, 1999.</w:t>
      </w:r>
    </w:p>
    <w:p>
      <w:pPr>
        <w:pStyle w:val="Normal"/>
        <w:ind w:hanging="720" w:start="720" w:end="0"/>
        <w:rPr>
          <w:rFonts w:cs="Arial"/>
        </w:rPr>
      </w:pPr>
      <w:r>
        <w:rPr>
          <w:rFonts w:cs="Arial"/>
        </w:rPr>
      </w:r>
    </w:p>
  </w:footnote>
  <w:footnote w:id="4">
    <w:p>
      <w:pPr>
        <w:pStyle w:val="BlockText"/>
        <w:spacing w:lineRule="auto" w:line="480" w:before="0" w:after="0"/>
        <w:ind w:start="0" w:end="0"/>
        <w:rPr/>
      </w:pPr>
      <w:r>
        <w:rPr>
          <w:rStyle w:val="FootnoteCharacters"/>
        </w:rPr>
        <w:footnoteRef/>
      </w:r>
      <w:r>
        <w:rPr>
          <w:rFonts w:cs="Arial"/>
        </w:rPr>
        <w:t xml:space="preserve"> </w:t>
      </w:r>
      <w:r>
        <w:rPr>
          <w:rFonts w:cs="Arial"/>
        </w:rPr>
        <w:tab/>
      </w:r>
      <w:r>
        <w:rPr>
          <w:rFonts w:cs="Arial"/>
          <w:sz w:val="20"/>
        </w:rPr>
        <w:t>Section 372(f) provides:</w:t>
      </w:r>
    </w:p>
    <w:p>
      <w:pPr>
        <w:pStyle w:val="BlockText"/>
        <w:spacing w:before="0" w:after="0"/>
        <w:rPr>
          <w:rFonts w:cs="Arial"/>
          <w:i/>
          <w:i/>
          <w:sz w:val="20"/>
        </w:rPr>
      </w:pPr>
      <w:r>
        <w:rPr>
          <w:rFonts w:cs="Arial"/>
          <w:i/>
          <w:sz w:val="20"/>
        </w:rPr>
        <w:t>To encourage the continued development, installation, and interconnection of clean and efficient self-generation and cogeneration resources, to improve system reliability for consumers by retaining existing generation and encouraging new generation to connect to the electric grid, and to increase self-sufficiency of consumers of electricity through the deployment of self-generation and cogeneration, both of the following shall occur:</w:t>
      </w:r>
    </w:p>
    <w:p>
      <w:pPr>
        <w:pStyle w:val="BlockText"/>
        <w:spacing w:before="0" w:after="0"/>
        <w:rPr>
          <w:rFonts w:cs="Arial"/>
          <w:i/>
          <w:i/>
          <w:sz w:val="20"/>
        </w:rPr>
      </w:pPr>
      <w:r>
        <w:rPr>
          <w:rFonts w:cs="Arial"/>
          <w:i/>
          <w:sz w:val="20"/>
        </w:rPr>
      </w:r>
    </w:p>
    <w:p>
      <w:pPr>
        <w:pStyle w:val="BlockText"/>
        <w:spacing w:before="0" w:after="0"/>
        <w:rPr/>
      </w:pPr>
      <w:r>
        <w:rPr>
          <w:rFonts w:cs="Arial"/>
          <w:i/>
          <w:sz w:val="20"/>
        </w:rPr>
        <w:t xml:space="preserve">(1) The commission and the Electricity Oversight Board </w:t>
      </w:r>
      <w:r>
        <w:rPr>
          <w:rFonts w:cs="Arial"/>
          <w:b/>
          <w:bCs/>
          <w:i/>
          <w:sz w:val="20"/>
          <w:u w:val="single"/>
        </w:rPr>
        <w:t>shall determine</w:t>
      </w:r>
      <w:r>
        <w:rPr>
          <w:rFonts w:cs="Arial"/>
          <w:i/>
          <w:sz w:val="20"/>
        </w:rPr>
        <w:t xml:space="preserve"> if any policy or action undertaken by the Independent System Operator, directly or indirectly, unreasonably discourages the connection of existing self-generation or cogeneration or new self-generation or cogeneration to the grid.</w:t>
      </w:r>
    </w:p>
    <w:p>
      <w:pPr>
        <w:pStyle w:val="BlockText"/>
        <w:spacing w:before="0" w:after="0"/>
        <w:rPr>
          <w:rFonts w:cs="Arial"/>
          <w:i/>
          <w:i/>
          <w:sz w:val="20"/>
        </w:rPr>
      </w:pPr>
      <w:r>
        <w:rPr>
          <w:rFonts w:cs="Arial"/>
          <w:i/>
          <w:sz w:val="20"/>
        </w:rPr>
      </w:r>
    </w:p>
    <w:p>
      <w:pPr>
        <w:pStyle w:val="FootnoteText"/>
        <w:ind w:start="1440" w:end="1440"/>
        <w:rPr/>
      </w:pPr>
      <w:r>
        <w:rPr>
          <w:rFonts w:cs="Arial"/>
          <w:i/>
        </w:rPr>
        <w:t xml:space="preserve">(2) If the commission and the Electricity Oversight Board find that any policy or action of the Independent System Operator unreasonably discourages the connection of existing self-generation or cogeneration or new self-generation or cogeneration to the grid, the commission and the Electricity Oversight Board </w:t>
      </w:r>
      <w:r>
        <w:rPr>
          <w:rFonts w:cs="Arial"/>
          <w:b/>
          <w:bCs/>
          <w:i/>
          <w:u w:val="single"/>
        </w:rPr>
        <w:t>shall undertake</w:t>
      </w:r>
      <w:r>
        <w:rPr>
          <w:rFonts w:cs="Arial"/>
          <w:i/>
        </w:rPr>
        <w:t xml:space="preserve"> all necessary efforts to revise, mitigate, or eliminate that policy or action of the Independent System Operator.  </w:t>
      </w:r>
      <w:r>
        <w:rPr>
          <w:rFonts w:cs="Arial"/>
          <w:iCs/>
        </w:rPr>
        <w:t>(Emphasis supplied.)</w:t>
      </w:r>
    </w:p>
    <w:p>
      <w:pPr>
        <w:pStyle w:val="FootnoteText"/>
        <w:rPr>
          <w:rFonts w:cs="Arial"/>
          <w:iCs/>
        </w:rPr>
      </w:pPr>
      <w:r>
        <w:rPr>
          <w:rFonts w:cs="Arial"/>
          <w:iCs/>
        </w:rPr>
      </w:r>
    </w:p>
  </w:footnote>
  <w:footnote w:id="5">
    <w:p>
      <w:pPr>
        <w:pStyle w:val="FootnoteText"/>
        <w:ind w:hanging="720" w:start="720" w:end="0"/>
        <w:rPr/>
      </w:pPr>
      <w:r>
        <w:rPr>
          <w:rStyle w:val="FootnoteCharacters"/>
        </w:rPr>
        <w:footnoteRef/>
      </w:r>
      <w:r>
        <w:rPr>
          <w:rFonts w:cs="Arial"/>
        </w:rPr>
        <w:t xml:space="preserve"> </w:t>
      </w:r>
      <w:r>
        <w:rPr>
          <w:rFonts w:cs="Arial"/>
        </w:rPr>
        <w:tab/>
        <w:t>Pursuant to Section 218 power from these facilities may be to several users beyond simply on-site loads.</w:t>
      </w:r>
    </w:p>
    <w:p>
      <w:pPr>
        <w:pStyle w:val="FootnoteText"/>
        <w:ind w:hanging="720" w:start="720" w:end="0"/>
        <w:rPr>
          <w:rFonts w:cs="Arial"/>
        </w:rPr>
      </w:pPr>
      <w:r>
        <w:rPr>
          <w:rFonts w:cs="Arial"/>
        </w:rPr>
      </w:r>
    </w:p>
  </w:footnote>
  <w:footnote w:id="6">
    <w:p>
      <w:pPr>
        <w:pStyle w:val="FootnoteText"/>
        <w:ind w:hanging="720" w:start="720" w:end="0"/>
        <w:rPr/>
      </w:pPr>
      <w:r>
        <w:rPr>
          <w:rStyle w:val="FootnoteCharacters"/>
        </w:rPr>
        <w:footnoteRef/>
      </w:r>
      <w:r>
        <w:rPr>
          <w:rFonts w:cs="Arial"/>
        </w:rPr>
        <w:t xml:space="preserve">  </w:t>
      </w:r>
      <w:r>
        <w:rPr>
          <w:rFonts w:cs="Arial"/>
        </w:rPr>
        <w:tab/>
        <w:t>Dylan Savidge (PG&amp;E) created the following diagram as part of the California Energy Commission Rule 21 Distributed Generation Interconnection Standards Workshop.  Its inclusion here does not indicate Pacific Gas &amp; Electric Company’s support, or lack thereof, for any argument or statement in this Application.</w:t>
      </w:r>
    </w:p>
  </w:footnote>
  <w:footnote w:id="7">
    <w:p>
      <w:pPr>
        <w:pStyle w:val="Normal"/>
        <w:ind w:hanging="720" w:start="720" w:end="0"/>
        <w:rPr>
          <w:rFonts w:cs="Arial"/>
        </w:rPr>
      </w:pPr>
      <w:r>
        <w:rPr>
          <w:rStyle w:val="FootnoteCharacters"/>
        </w:rPr>
        <w:footnoteRef/>
      </w:r>
      <w:r>
        <w:rPr>
          <w:rFonts w:cs="Arial"/>
        </w:rPr>
        <w:t xml:space="preserve"> </w:t>
      </w:r>
      <w:r>
        <w:rPr>
          <w:rFonts w:cs="Arial"/>
        </w:rPr>
        <w:tab/>
      </w:r>
      <w:r>
        <w:rPr>
          <w:rFonts w:cs="Arial"/>
          <w:sz w:val="20"/>
        </w:rPr>
        <w:t>Commission Rulemaking R.99-10-025; Testimony of Mr. Pease, PG&amp;E (Reporters’ Transcript p. 1153:17-1154:15); Testimony of Mr. Jazayeri, SCE (Reporters’ Transcript, p. 356:4-7).</w:t>
      </w:r>
    </w:p>
    <w:p>
      <w:pPr>
        <w:pStyle w:val="Normal"/>
        <w:ind w:hanging="720" w:start="720" w:end="0"/>
        <w:rPr>
          <w:rFonts w:cs="Arial"/>
        </w:rPr>
      </w:pPr>
      <w:r>
        <w:rPr>
          <w:rFonts w:cs="Arial"/>
        </w:rPr>
      </w:r>
    </w:p>
  </w:footnote>
  <w:footnote w:id="8">
    <w:p>
      <w:pPr>
        <w:pStyle w:val="FootnoteText"/>
        <w:ind w:hanging="720" w:start="720" w:end="0"/>
        <w:rPr/>
      </w:pPr>
      <w:r>
        <w:rPr>
          <w:rStyle w:val="FootnoteCharacters"/>
        </w:rPr>
        <w:footnoteRef/>
      </w:r>
      <w:r>
        <w:rPr>
          <w:rFonts w:cs="Arial"/>
        </w:rPr>
        <w:t xml:space="preserve"> </w:t>
      </w:r>
      <w:r>
        <w:rPr>
          <w:rFonts w:cs="Arial"/>
        </w:rPr>
        <w:tab/>
        <w:t xml:space="preserve">The ISO’s express position is that:  </w:t>
      </w:r>
      <w:r>
        <w:rPr>
          <w:rFonts w:cs="Arial"/>
          <w:i/>
          <w:iCs/>
        </w:rPr>
        <w:t>“[A]ll generators and all loads should be metered separately as a general principle.”</w:t>
      </w:r>
      <w:r>
        <w:rPr>
          <w:rFonts w:cs="Arial"/>
        </w:rPr>
        <w:t xml:space="preserve">  (Commission Rulemaking R.99-10-025, Exhibit 151, ISO Prepared Reply, Appendix B, Response to Data Request Q7.)</w:t>
      </w:r>
    </w:p>
    <w:p>
      <w:pPr>
        <w:pStyle w:val="FootnoteText"/>
        <w:ind w:hanging="720" w:start="720" w:end="0"/>
        <w:rPr>
          <w:rFonts w:cs="Arial"/>
        </w:rPr>
      </w:pPr>
      <w:r>
        <w:rPr>
          <w:rFonts w:cs="Arial"/>
        </w:rPr>
      </w:r>
    </w:p>
  </w:footnote>
  <w:footnote w:id="9">
    <w:p>
      <w:pPr>
        <w:pStyle w:val="BlockText"/>
        <w:ind w:hanging="720" w:start="720" w:end="0"/>
        <w:rPr>
          <w:sz w:val="20"/>
        </w:rPr>
      </w:pPr>
      <w:r>
        <w:rPr>
          <w:rStyle w:val="FootnoteCharacters"/>
        </w:rPr>
        <w:footnoteRef/>
      </w:r>
      <w:r>
        <w:rPr>
          <w:rFonts w:cs="Arial"/>
        </w:rPr>
        <w:t xml:space="preserve"> </w:t>
      </w:r>
      <w:r>
        <w:rPr>
          <w:rFonts w:cs="Arial"/>
        </w:rPr>
        <w:tab/>
      </w:r>
      <w:r>
        <w:rPr>
          <w:rFonts w:cs="Arial"/>
          <w:i/>
          <w:iCs/>
          <w:sz w:val="20"/>
        </w:rPr>
        <w:t>See</w:t>
      </w:r>
      <w:r>
        <w:rPr>
          <w:rFonts w:cs="Arial"/>
          <w:sz w:val="20"/>
        </w:rPr>
        <w:t xml:space="preserve"> Rule 21; </w:t>
      </w:r>
      <w:r>
        <w:rPr>
          <w:rFonts w:cs="Arial"/>
          <w:i/>
          <w:iCs/>
          <w:sz w:val="20"/>
        </w:rPr>
        <w:t>see, e.g.</w:t>
      </w:r>
      <w:r>
        <w:rPr>
          <w:rFonts w:cs="Arial"/>
          <w:sz w:val="20"/>
        </w:rPr>
        <w:t>, PG&amp;E standard offer contract provision related to surplus sales:</w:t>
      </w:r>
    </w:p>
    <w:p>
      <w:pPr>
        <w:pStyle w:val="BlockText"/>
        <w:spacing w:before="0" w:after="120"/>
        <w:rPr>
          <w:sz w:val="20"/>
        </w:rPr>
      </w:pPr>
      <w:r>
        <w:rPr>
          <w:sz w:val="20"/>
        </w:rPr>
        <w:t>Operating option II (Surplus Sale):  Seller sells Generating Facility output, less Station Use and any other use by Seller, to PG&amp;E.</w:t>
      </w:r>
    </w:p>
  </w:footnote>
  <w:footnote w:id="10">
    <w:p>
      <w:pPr>
        <w:pStyle w:val="FootnoteText"/>
        <w:ind w:hanging="720" w:start="720" w:end="0"/>
        <w:rPr/>
      </w:pPr>
      <w:r>
        <w:rPr>
          <w:rStyle w:val="FootnoteCharacters"/>
        </w:rPr>
        <w:footnoteRef/>
      </w:r>
      <w:r>
        <w:rPr>
          <w:rFonts w:cs="Arial"/>
        </w:rPr>
        <w:t xml:space="preserve"> </w:t>
      </w:r>
      <w:r>
        <w:rPr>
          <w:rFonts w:cs="Arial"/>
        </w:rPr>
        <w:tab/>
        <w:t xml:space="preserve">For statutory references, </w:t>
      </w:r>
      <w:r>
        <w:rPr>
          <w:rFonts w:cs="Arial"/>
          <w:i/>
          <w:iCs/>
        </w:rPr>
        <w:t>see</w:t>
      </w:r>
      <w:r>
        <w:rPr>
          <w:rFonts w:cs="Arial"/>
        </w:rPr>
        <w:t xml:space="preserve"> Sections 218 and 372 of the California Public Utilities Code; for contractual references, </w:t>
      </w:r>
      <w:r>
        <w:rPr>
          <w:rFonts w:cs="Arial"/>
          <w:i/>
          <w:iCs/>
        </w:rPr>
        <w:t>see</w:t>
      </w:r>
      <w:r>
        <w:rPr>
          <w:rFonts w:cs="Arial"/>
        </w:rPr>
        <w:t xml:space="preserve"> standard offer contracts and terms and conditions related to the delivery of net sales of surplus power after customer use is served; for regulatory references, </w:t>
      </w:r>
      <w:r>
        <w:rPr>
          <w:rFonts w:cs="Arial"/>
          <w:i/>
          <w:iCs/>
        </w:rPr>
        <w:t>see</w:t>
      </w:r>
      <w:r>
        <w:rPr>
          <w:rFonts w:cs="Arial"/>
        </w:rPr>
        <w:t xml:space="preserve"> Rule 21 for interconnection provisions.</w:t>
      </w:r>
    </w:p>
  </w:footnote>
  <w:footnote w:id="11">
    <w:p>
      <w:pPr>
        <w:pStyle w:val="BodyTextIn"/>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720" w:start="720" w:end="0"/>
        <w:rPr/>
      </w:pPr>
      <w:r>
        <w:rPr>
          <w:rStyle w:val="FootnoteCharacters"/>
        </w:rPr>
        <w:footnoteRef/>
      </w:r>
      <w:r>
        <w:rPr>
          <w:rFonts w:cs="Arial"/>
          <w:sz w:val="20"/>
        </w:rPr>
        <w:t xml:space="preserve"> </w:t>
      </w:r>
      <w:r>
        <w:rPr>
          <w:rFonts w:cs="Arial"/>
          <w:sz w:val="20"/>
        </w:rPr>
        <w:tab/>
        <w:t>Commission Rulemaking R.99-10-025, Exhibit 150, ISO Prepared Direct, pp. 5-6; Exhibit 151, ISO Prepared Reply, p. 4:16-20.</w:t>
      </w:r>
    </w:p>
    <w:p>
      <w:pPr>
        <w:pStyle w:val="FootnoteText"/>
        <w:rPr>
          <w:rFonts w:cs="Arial"/>
          <w:sz w:val="20"/>
        </w:rPr>
      </w:pPr>
      <w:r>
        <w:rPr>
          <w:rFonts w:cs="Arial"/>
          <w:sz w:val="20"/>
        </w:rPr>
      </w:r>
    </w:p>
  </w:footnote>
  <w:footnote w:id="12">
    <w:p>
      <w:pPr>
        <w:pStyle w:val="FootnoteText"/>
        <w:ind w:hanging="720" w:start="720" w:end="0"/>
        <w:rPr/>
      </w:pPr>
      <w:r>
        <w:rPr>
          <w:rStyle w:val="FootnoteCharacters"/>
        </w:rPr>
        <w:footnoteRef/>
      </w:r>
      <w:r>
        <w:rPr>
          <w:rFonts w:cs="Arial"/>
        </w:rPr>
        <w:t xml:space="preserve"> </w:t>
      </w:r>
      <w:r>
        <w:rPr>
          <w:rFonts w:cs="Arial"/>
        </w:rPr>
        <w:tab/>
        <w:t>The membership of CAC includes the following operating California cogeneration projects:  Kern River Cogeneration Company; Sycamore Cogeneration Company; Midway Sunset Cogeneration Company, Kern Field Projects; Oxford Lease projects; Mid-Set Cogeneration Company; Coalinga Cogeneration Company; Sargent Canyon Cogeneration Company; Salinas River Cogeneration Company; North Midway Cogeneration Project; McKittrick Cogeneration Project; and Four Star Lost Hills Cogeneration Project.</w:t>
      </w:r>
    </w:p>
    <w:p>
      <w:pPr>
        <w:pStyle w:val="FootnoteText"/>
        <w:ind w:hanging="720" w:start="720" w:end="0"/>
        <w:rPr>
          <w:rFonts w:cs="Arial"/>
        </w:rPr>
      </w:pPr>
      <w:r>
        <w:rPr>
          <w:rFonts w:cs="Arial"/>
        </w:rPr>
      </w:r>
    </w:p>
  </w:footnote>
  <w:footnote w:id="13">
    <w:p>
      <w:pPr>
        <w:pStyle w:val="FootnoteText"/>
        <w:ind w:hanging="720" w:start="720" w:end="0"/>
        <w:rPr/>
      </w:pPr>
      <w:r>
        <w:rPr>
          <w:rStyle w:val="FootnoteCharacters"/>
        </w:rPr>
        <w:footnoteRef/>
      </w:r>
      <w:r>
        <w:rPr>
          <w:rFonts w:cs="Arial"/>
        </w:rPr>
        <w:t xml:space="preserve"> </w:t>
      </w:r>
      <w:r>
        <w:rPr>
          <w:rFonts w:cs="Arial"/>
        </w:rPr>
        <w:tab/>
        <w:t xml:space="preserve">EPUC is an </w:t>
      </w:r>
      <w:r>
        <w:rPr>
          <w:rFonts w:cs="Arial"/>
          <w:i/>
          <w:iCs/>
        </w:rPr>
        <w:t>ad hoc</w:t>
      </w:r>
      <w:r>
        <w:rPr>
          <w:rFonts w:cs="Arial"/>
        </w:rPr>
        <w:t xml:space="preserve"> association representing the large industrial and commercial consumer and cogeneration interests of its members.  Members include Aera Energy LLC, Atlantic Richfield Company, Chevron U.S.A., Texaco Inc., and Tosco Corporation. </w:t>
      </w:r>
    </w:p>
    <w:p>
      <w:pPr>
        <w:pStyle w:val="FootnoteText"/>
        <w:ind w:hanging="720" w:start="720" w:end="0"/>
        <w:rPr>
          <w:rFonts w:eastAsia="Arial" w:cs="Arial"/>
        </w:rPr>
      </w:pPr>
      <w:r>
        <w:rPr>
          <w:rFonts w:eastAsia="Arial" w:cs="Arial"/>
        </w:rPr>
        <w:t xml:space="preserve"> </w:t>
      </w:r>
    </w:p>
  </w:footnote>
  <w:footnote w:id="14">
    <w:p>
      <w:pPr>
        <w:pStyle w:val="FootnoteText"/>
        <w:ind w:hanging="720" w:start="720" w:end="0"/>
        <w:rPr/>
      </w:pPr>
      <w:r>
        <w:rPr>
          <w:rStyle w:val="FootnoteCharacters"/>
        </w:rPr>
        <w:footnoteRef/>
      </w:r>
      <w:r>
        <w:rPr>
          <w:rFonts w:cs="Arial"/>
        </w:rPr>
        <w:t xml:space="preserve">  </w:t>
      </w:r>
      <w:r>
        <w:rPr>
          <w:rFonts w:cs="Arial"/>
        </w:rPr>
        <w:tab/>
        <w:t xml:space="preserve">In addition, this Application (without attachments) has been served </w:t>
      </w:r>
      <w:r>
        <w:rPr>
          <w:rFonts w:cs="Arial"/>
          <w:i/>
          <w:iCs/>
        </w:rPr>
        <w:t xml:space="preserve">via </w:t>
      </w:r>
      <w:r>
        <w:rPr>
          <w:rFonts w:cs="Arial"/>
        </w:rPr>
        <w:t>electronic mail to the service lists of Rulemaking 99-10-025, Order Instituting Rulemaking Into Distributed Generation, filed October 21, 1999, and Rulemaking 99-11-022, Order Instituting Rulemaking into Implementation of Public Utilities Code § 390, filed November 18, 1999.  CAC/EPUC will serve any other service lists that the Commission and the EOB deem appropriate as well.  Notice is hereby provided that CAC/EPUC will provide copies of the appendices to this Application to any party to this proceeding upon request.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360"/>
        </w:tabs>
        <w:ind w:start="360" w:hanging="360"/>
      </w:pPr>
      <w:rPr>
        <w:rFonts w:ascii="Wingdings" w:hAnsi="Wingdings" w:cs="Wingdings"/>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bullet"/>
      <w:lvlText w:val=""/>
      <w:lvlJc w:val="start"/>
      <w:pPr>
        <w:tabs>
          <w:tab w:val="num" w:pos="1080"/>
        </w:tabs>
        <w:ind w:start="1080" w:hanging="360"/>
      </w:pPr>
      <w:rPr>
        <w:rFonts w:ascii="Wingdings" w:hAnsi="Wingdings" w:cs="Wingdings" w:hint="default"/>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upperLetter"/>
      <w:lvlText w:val="%1."/>
      <w:lvlJc w:val="start"/>
      <w:pPr>
        <w:tabs>
          <w:tab w:val="num" w:pos="1080"/>
        </w:tabs>
        <w:ind w:start="1080" w:hanging="360"/>
      </w:pPr>
      <w:rPr>
        <w:sz w:val="24"/>
        <w:i w:val="false"/>
        <w:b/>
        <w:rFonts w:ascii="Arial" w:hAnsi="Arial" w:cs="Arial"/>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bullet"/>
      <w:lvlText w:val=""/>
      <w:lvlJc w:val="start"/>
      <w:pPr>
        <w:tabs>
          <w:tab w:val="num" w:pos="1507"/>
        </w:tabs>
        <w:ind w:start="1507"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1513"/>
        </w:tabs>
        <w:ind w:start="1513" w:hanging="360"/>
      </w:pPr>
      <w:rPr>
        <w:rFonts w:ascii="Wingdings" w:hAnsi="Wingdings" w:cs="Wingdings" w:hint="default"/>
      </w:r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none"/>
      <w:suff w:val="nothing"/>
      <w:lvlText w:val=""/>
      <w:lvlJc w:val="start"/>
      <w:pPr>
        <w:tabs>
          <w:tab w:val="num" w:pos="360"/>
        </w:tabs>
        <w:ind w:start="360" w:hanging="360"/>
      </w:pPr>
      <w:rPr>
        <w:rFonts w:ascii="Wingdings" w:hAnsi="Wingdings" w:cs="Wingdings"/>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none"/>
      <w:suff w:val="nothing"/>
      <w:lvlText w:val=""/>
      <w:lvlJc w:val="start"/>
      <w:pPr>
        <w:tabs>
          <w:tab w:val="num" w:pos="360"/>
        </w:tabs>
        <w:ind w:start="360" w:hanging="360"/>
      </w:pPr>
      <w:rPr>
        <w:rFonts w:ascii="Wingdings" w:hAnsi="Wingdings" w:cs="Wingdings"/>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bullet"/>
      <w:lvlText w:val=""/>
      <w:lvlJc w:val="start"/>
      <w:pPr>
        <w:tabs>
          <w:tab w:val="num" w:pos="1080"/>
        </w:tabs>
        <w:ind w:start="1080" w:hanging="360"/>
      </w:pPr>
      <w:rPr>
        <w:rFonts w:ascii="Wingdings" w:hAnsi="Wingdings" w:cs="Wingdings" w:hint="default"/>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5">
    <w:lvl w:ilvl="0">
      <w:start w:val="1"/>
      <w:numFmt w:val="upp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2"/>
      <w:numFmt w:val="upperRoman"/>
      <w:lvlText w:val="%6."/>
      <w:lvlJc w:val="start"/>
      <w:pPr>
        <w:tabs>
          <w:tab w:val="num" w:pos="5220"/>
        </w:tabs>
        <w:ind w:start="5220" w:hanging="720"/>
      </w:pPr>
      <w:r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6">
    <w:lvl w:ilvl="0">
      <w:start w:val="1"/>
      <w:numFmt w:val="bullet"/>
      <w:lvlText w:val=""/>
      <w:lvlJc w:val="start"/>
      <w:pPr>
        <w:tabs>
          <w:tab w:val="num" w:pos="1080"/>
        </w:tabs>
        <w:ind w:start="1080" w:hanging="360"/>
      </w:pPr>
      <w:rPr>
        <w:rFonts w:ascii="Wingdings" w:hAnsi="Wingdings" w:cs="Wingdings" w:hint="default"/>
      </w:rPr>
    </w:lvl>
    <w:lvl w:ilvl="1">
      <w:start w:val="1"/>
      <w:numFmt w:val="none"/>
      <w:suff w:val="nothing"/>
      <w:lvlText w:val="o"/>
      <w:lvlJc w:val="start"/>
      <w:pPr>
        <w:tabs>
          <w:tab w:val="num" w:pos="360"/>
        </w:tabs>
        <w:ind w:start="1440" w:hanging="360"/>
      </w:pPr>
      <w:rPr>
        <w:rFonts w:ascii="Courier New" w:hAnsi="Courier New" w:cs="Courier New"/>
      </w:rPr>
    </w:lvl>
    <w:lvl w:ilvl="2">
      <w:start w:val="1"/>
      <w:numFmt w:val="none"/>
      <w:suff w:val="nothing"/>
      <w:lvlText w:val=""/>
      <w:lvlJc w:val="start"/>
      <w:pPr>
        <w:tabs>
          <w:tab w:val="num" w:pos="360"/>
        </w:tabs>
        <w:ind w:start="1800" w:hanging="360"/>
      </w:pPr>
      <w:rPr>
        <w:rFonts w:ascii="Wingdings" w:hAnsi="Wingdings" w:cs="Wingdings"/>
      </w:rPr>
    </w:lvl>
    <w:lvl w:ilvl="3">
      <w:start w:val="1"/>
      <w:numFmt w:val="none"/>
      <w:suff w:val="nothing"/>
      <w:lvlText w:val=""/>
      <w:lvlJc w:val="start"/>
      <w:pPr>
        <w:tabs>
          <w:tab w:val="num" w:pos="360"/>
        </w:tabs>
        <w:ind w:start="2160" w:hanging="360"/>
      </w:pPr>
      <w:rPr>
        <w:rFonts w:ascii="Symbol" w:hAnsi="Symbol" w:cs="Symbol"/>
      </w:rPr>
    </w:lvl>
    <w:lvl w:ilvl="4">
      <w:start w:val="1"/>
      <w:numFmt w:val="none"/>
      <w:suff w:val="nothing"/>
      <w:lvlText w:val="o"/>
      <w:lvlJc w:val="start"/>
      <w:pPr>
        <w:tabs>
          <w:tab w:val="num" w:pos="360"/>
        </w:tabs>
        <w:ind w:start="2520" w:hanging="360"/>
      </w:pPr>
      <w:rPr>
        <w:rFonts w:ascii="Courier New" w:hAnsi="Courier New" w:cs="Courier New"/>
      </w:rPr>
    </w:lvl>
    <w:lvl w:ilvl="5">
      <w:start w:val="1"/>
      <w:numFmt w:val="none"/>
      <w:suff w:val="nothing"/>
      <w:lvlText w:val=""/>
      <w:lvlJc w:val="start"/>
      <w:pPr>
        <w:tabs>
          <w:tab w:val="num" w:pos="360"/>
        </w:tabs>
        <w:ind w:start="2880" w:hanging="360"/>
      </w:pPr>
      <w:rPr>
        <w:rFonts w:ascii="Wingdings" w:hAnsi="Wingdings" w:cs="Wingdings"/>
      </w:rPr>
    </w:lvl>
    <w:lvl w:ilvl="6">
      <w:start w:val="1"/>
      <w:numFmt w:val="none"/>
      <w:suff w:val="nothing"/>
      <w:lvlText w:val=""/>
      <w:lvlJc w:val="start"/>
      <w:pPr>
        <w:tabs>
          <w:tab w:val="num" w:pos="360"/>
        </w:tabs>
        <w:ind w:start="3240" w:hanging="360"/>
      </w:pPr>
      <w:rPr>
        <w:rFonts w:ascii="Symbol" w:hAnsi="Symbol" w:cs="Symbol"/>
      </w:rPr>
    </w:lvl>
    <w:lvl w:ilvl="7">
      <w:start w:val="1"/>
      <w:numFmt w:val="none"/>
      <w:suff w:val="nothing"/>
      <w:lvlText w:val="o"/>
      <w:lvlJc w:val="start"/>
      <w:pPr>
        <w:tabs>
          <w:tab w:val="num" w:pos="360"/>
        </w:tabs>
        <w:ind w:start="3600" w:hanging="360"/>
      </w:pPr>
      <w:rPr>
        <w:rFonts w:ascii="Courier New" w:hAnsi="Courier New" w:cs="Courier New"/>
      </w:rPr>
    </w:lvl>
    <w:lvl w:ilvl="8">
      <w:start w:val="1"/>
      <w:numFmt w:val="none"/>
      <w:suff w:val="nothing"/>
      <w:lvlText w:val=""/>
      <w:lvlJc w:val="start"/>
      <w:pPr>
        <w:tabs>
          <w:tab w:val="num" w:pos="360"/>
        </w:tabs>
        <w:ind w:start="3960" w:hanging="360"/>
      </w:pPr>
      <w:rPr>
        <w:rFonts w:ascii="Wingdings" w:hAnsi="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keepLines/>
      <w:numPr>
        <w:ilvl w:val="0"/>
        <w:numId w:val="1"/>
      </w:numPr>
      <w:tabs>
        <w:tab w:val="clear" w:pos="720"/>
        <w:tab w:val="left" w:pos="510" w:leader="none"/>
      </w:tabs>
      <w:ind w:hanging="0" w:start="150" w:end="0"/>
      <w:outlineLvl w:val="0"/>
    </w:pPr>
    <w:rPr>
      <w:rFonts w:ascii="Arial" w:hAnsi="Arial" w:cs="Arial"/>
      <w:b/>
      <w:color w:val="000000"/>
      <w:sz w:val="22"/>
      <w:u w:val="single"/>
    </w:rPr>
  </w:style>
  <w:style w:type="paragraph" w:styleId="Heading2">
    <w:name w:val="heading 2"/>
    <w:basedOn w:val="Normal"/>
    <w:next w:val="Normal"/>
    <w:qFormat/>
    <w:pPr>
      <w:widowControl w:val="false"/>
      <w:numPr>
        <w:ilvl w:val="1"/>
        <w:numId w:val="1"/>
      </w:numPr>
      <w:autoSpaceDE w:val="false"/>
      <w:spacing w:lineRule="auto" w:line="480"/>
      <w:jc w:val="center"/>
      <w:outlineLvl w:val="1"/>
    </w:pPr>
    <w:rPr>
      <w:rFonts w:eastAsia="Arial Unicode MS"/>
      <w:b/>
      <w:bCs/>
      <w:sz w:val="24"/>
      <w:szCs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keepLines/>
      <w:numPr>
        <w:ilvl w:val="6"/>
        <w:numId w:val="1"/>
      </w:numPr>
      <w:tabs>
        <w:tab w:val="clear" w:pos="720"/>
        <w:tab w:val="left" w:pos="510" w:leader="none"/>
      </w:tabs>
      <w:ind w:hanging="0" w:start="150" w:end="0"/>
      <w:jc w:val="center"/>
      <w:outlineLvl w:val="6"/>
    </w:pPr>
    <w:rPr>
      <w:rFonts w:cs="Arial"/>
      <w:b/>
      <w:smallCaps/>
      <w:color w:val="000000"/>
      <w:sz w:val="22"/>
    </w:rPr>
  </w:style>
  <w:style w:type="paragraph" w:styleId="Heading8">
    <w:name w:val="heading 8"/>
    <w:basedOn w:val="Normal"/>
    <w:next w:val="Normal"/>
    <w:qFormat/>
    <w:pPr>
      <w:keepNext w:val="true"/>
      <w:widowControl w:val="false"/>
      <w:numPr>
        <w:ilvl w:val="7"/>
        <w:numId w:val="1"/>
      </w:numPr>
      <w:jc w:val="center"/>
      <w:outlineLvl w:val="7"/>
    </w:pPr>
    <w:rPr>
      <w:b/>
      <w:color w:val="000000"/>
      <w:u w:val="single"/>
    </w:rPr>
  </w:style>
  <w:style w:type="paragraph" w:styleId="Heading9">
    <w:name w:val="heading 9"/>
    <w:basedOn w:val="Normal"/>
    <w:next w:val="Normal"/>
    <w:qFormat/>
    <w:pPr>
      <w:keepNext w:val="true"/>
      <w:widowControl w:val="false"/>
      <w:numPr>
        <w:ilvl w:val="8"/>
        <w:numId w:val="1"/>
      </w:numPr>
      <w:outlineLvl w:val="8"/>
    </w:pPr>
    <w:rPr>
      <w:b/>
      <w:color w:val="000000"/>
      <w:sz w:val="22"/>
      <w:u w:val="singl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Arial" w:hAnsi="Arial" w:cs="Arial"/>
      <w:b/>
      <w:i w:val="false"/>
      <w:sz w:val="24"/>
    </w:rPr>
  </w:style>
  <w:style w:type="character" w:styleId="WW8Num10z0">
    <w:name w:val="WW8Num10z0"/>
    <w:qFormat/>
    <w:rPr>
      <w:b/>
      <w:u w:val="singl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b/>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style>
  <w:style w:type="character" w:styleId="WW8Num48z0">
    <w:name w:val="WW8Num48z0"/>
    <w:qFormat/>
    <w:rPr>
      <w:u w:val="none"/>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FootnoteCharacters">
    <w:name w:val="Footnote Characters"/>
    <w:basedOn w:val="DefaultParagraphFont"/>
    <w:qFormat/>
    <w:rPr>
      <w:rFonts w:ascii="Arial" w:hAnsi="Arial" w:cs="Arial"/>
      <w:sz w:val="20"/>
      <w:vertAlign w:val="superscript"/>
    </w:rPr>
  </w:style>
  <w:style w:type="character" w:styleId="PageNumber">
    <w:name w:val="page number"/>
    <w:basedOn w:val="DefaultParagraphFont"/>
    <w:rPr>
      <w:rFonts w:ascii="Arial" w:hAnsi="Arial" w:cs="Arial"/>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autoSpaceDE w:val="false"/>
      <w:jc w:val="center"/>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2">
    <w:name w:val="Body Text Indent 2"/>
    <w:basedOn w:val="Normal"/>
    <w:qFormat/>
    <w:pPr>
      <w:overflowPunct w:val="false"/>
      <w:autoSpaceDE w:val="false"/>
      <w:ind w:hanging="0" w:start="360" w:end="0"/>
      <w:textAlignment w:val="baseline"/>
    </w:pPr>
    <w:rPr>
      <w:rFonts w:ascii="Courier" w:hAnsi="Courier" w:cs="Courier"/>
      <w:sz w:val="24"/>
    </w:rPr>
  </w:style>
  <w:style w:type="paragraph" w:styleId="BodyText2">
    <w:name w:val="Body Text 2"/>
    <w:basedOn w:val="Normal"/>
    <w:qFormat/>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s>
      <w:overflowPunct w:val="false"/>
      <w:autoSpaceDE w:val="false"/>
      <w:textAlignment w:val="baseline"/>
    </w:pPr>
    <w:rPr>
      <w:rFonts w:ascii="Courier" w:hAnsi="Courier" w:cs="Courier"/>
      <w:b/>
      <w:sz w:val="24"/>
    </w:rPr>
  </w:style>
  <w:style w:type="paragraph" w:styleId="BodyTextIn">
    <w:name w:val="Body Text In"/>
    <w:basedOn w:val="Normal"/>
    <w:qFormat/>
    <w:pPr>
      <w:widowControl w:val="false"/>
      <w:autoSpaceDE w:val="false"/>
      <w:spacing w:lineRule="auto" w:line="480"/>
      <w:ind w:firstLine="720" w:start="0" w:end="0"/>
    </w:pPr>
    <w:rPr>
      <w:sz w:val="24"/>
      <w:szCs w:val="24"/>
    </w:rPr>
  </w:style>
  <w:style w:type="paragraph" w:styleId="1AutoList3">
    <w:name w:val="1AutoList3"/>
    <w:qFormat/>
    <w:pPr>
      <w:widowControl/>
      <w:tabs>
        <w:tab w:val="left" w:pos="720" w:leader="none"/>
      </w:tabs>
      <w:autoSpaceDE w:val="false"/>
      <w:bidi w:val="0"/>
      <w:ind w:hanging="720" w:start="720" w:end="0"/>
    </w:pPr>
    <w:rPr>
      <w:rFonts w:ascii="Arial" w:hAnsi="Arial" w:eastAsia="Times New Roman" w:cs="Arial"/>
      <w:color w:val="auto"/>
      <w:sz w:val="20"/>
      <w:szCs w:val="24"/>
      <w:lang w:val="en-US" w:bidi="ar-SA" w:eastAsia="zh-CN"/>
    </w:rPr>
  </w:style>
  <w:style w:type="paragraph" w:styleId="CaptionBox">
    <w:name w:val="Caption Box"/>
    <w:basedOn w:val="Normal"/>
    <w:qFormat/>
    <w:pPr>
      <w:widowControl w:val="false"/>
      <w:autoSpaceDE w:val="false"/>
    </w:pPr>
    <w:rPr>
      <w:sz w:val="24"/>
      <w:szCs w:val="24"/>
    </w:rPr>
  </w:style>
  <w:style w:type="paragraph" w:styleId="BlockText">
    <w:name w:val="Block Text"/>
    <w:basedOn w:val="Normal"/>
    <w:qFormat/>
    <w:pPr>
      <w:widowControl w:val="false"/>
      <w:autoSpaceDE w:val="false"/>
      <w:spacing w:before="0" w:after="120"/>
      <w:ind w:hanging="0" w:start="1440" w:end="1440"/>
    </w:pPr>
    <w:rPr>
      <w:rFonts w:ascii="Arial" w:hAnsi="Arial" w:cs="Arial"/>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rFonts w:ascii="Arial" w:hAnsi="Arial" w:cs="Arial"/>
      <w:b/>
      <w:bCs/>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1440" w:end="0"/>
    </w:pPr>
    <w:rPr>
      <w:rFonts w:ascii="Arial" w:hAnsi="Arial" w:cs="Arial"/>
      <w:sz w:val="24"/>
    </w:rPr>
  </w:style>
  <w:style w:type="paragraph" w:styleId="TOC2">
    <w:name w:val="toc 2"/>
    <w:basedOn w:val="Normal"/>
    <w:next w:val="Normal"/>
    <w:pPr>
      <w:ind w:hanging="0" w:start="200" w:end="0"/>
    </w:pPr>
    <w:rPr/>
  </w:style>
  <w:style w:type="paragraph" w:styleId="TOC1">
    <w:name w:val="toc 1"/>
    <w:basedOn w:val="Normal"/>
    <w:next w:val="Normal"/>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pa@aelaw.com" TargetMode="External"/><Relationship Id="rId3" Type="http://schemas.openxmlformats.org/officeDocument/2006/relationships/hyperlink" Target="mailto:eke@aelaw.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oleObject" Target="embeddings/oleObject1.bin"/><Relationship Id="rId15" Type="http://schemas.openxmlformats.org/officeDocument/2006/relationships/image" Target="media/image1.emf"/><Relationship Id="rId16" Type="http://schemas.openxmlformats.org/officeDocument/2006/relationships/hyperlink" Target="mailto:eke@aelaw.com" TargetMode="External"/><Relationship Id="rId17" Type="http://schemas.openxmlformats.org/officeDocument/2006/relationships/hyperlink" Target="mailto:lys@aelaw.com" TargetMode="External"/><Relationship Id="rId18" Type="http://schemas.openxmlformats.org/officeDocument/2006/relationships/hyperlink" Target="mailto:mpa@aelaw.com" TargetMode="External"/><Relationship Id="rId19" Type="http://schemas.openxmlformats.org/officeDocument/2006/relationships/hyperlink" Target="mailto:deb@aelaw.com" TargetMode="External"/><Relationship Id="rId20" Type="http://schemas.openxmlformats.org/officeDocument/2006/relationships/hyperlink" Target="mailto:dws@keywaycorp.com" TargetMode="External"/><Relationship Id="rId21" Type="http://schemas.openxmlformats.org/officeDocument/2006/relationships/hyperlink" Target="mailto:rcsstl@cdmnet.com" TargetMode="Externa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2000-11-20T15:43:00Z</dcterms:created>
  <dc:creator>Network User</dc:creator>
  <dc:description/>
  <dc:language>en-CA</dc:language>
  <cp:lastModifiedBy>Kari Harteloo</cp:lastModifiedBy>
  <cp:lastPrinted>2000-11-20T14:25:00Z</cp:lastPrinted>
  <dcterms:modified xsi:type="dcterms:W3CDTF">2000-11-20T20:04:00Z</dcterms:modified>
  <cp:revision>28</cp:revision>
  <dc:subject/>
  <dc:title>BEFORE THE PUBLIC UTILITIES COMMISSION</dc:title>
</cp:coreProperties>
</file>