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bCs/>
          <w:u w:val="single"/>
        </w:rPr>
      </w:pPr>
      <w:r>
        <w:rPr>
          <w:b/>
          <w:bCs/>
          <w:u w:val="single"/>
        </w:rPr>
        <w:t>SDG&amp;E Advice Letter Summary</w:t>
      </w:r>
    </w:p>
    <w:p>
      <w:pPr>
        <w:pStyle w:val="Body"/>
        <w:ind w:hanging="0" w:end="0"/>
        <w:jc w:val="center"/>
        <w:rPr/>
      </w:pPr>
      <w:r>
        <w:rPr/>
        <w:t>November 1, 2000</w:t>
        <w:b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1256-E-A</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10/26/00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11/15/00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bCs/>
              </w:rPr>
            </w:pPr>
            <w:r>
              <w:rPr>
                <w:b/>
                <w:bCs/>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bCs/>
              </w:rPr>
            </w:pPr>
            <w:r>
              <w:rPr>
                <w:b/>
                <w:bCs/>
              </w:rPr>
              <w:t xml:space="preserve">Analysis:  </w:t>
            </w:r>
          </w:p>
          <w:p>
            <w:pPr>
              <w:pStyle w:val="BodyText2"/>
              <w:widowControl/>
              <w:rPr>
                <w:rFonts w:ascii="Times New Roman" w:hAnsi="Times New Roman" w:eastAsia="Times New Roman" w:cs="Times New Roman"/>
              </w:rPr>
            </w:pPr>
            <w:r>
              <w:rPr>
                <w:rFonts w:eastAsia="Times New Roman" w:cs="Times New Roman" w:ascii="Times New Roman" w:hAnsi="Times New Roman"/>
              </w:rPr>
              <w:t>This supplemental advice letter filing is being made to revise the tariffs submitted in SDG&amp;E’s Advice Letter 1256-E applicable to the Purchased Electric Commodity Account (PECA) and the Near-Term Bilateral Contract Memorandum Account (NTBCMA) under the Electric Preliminary Statement.  The tariff language in PECA has been revised to reflect “capacity products” instead of “related products” under section 6.e. of the Accounting Procedure.  The tariff language in the NTBCMA has also been revised to reflect that the Near-Term Bilateral Contracts are for power delivery (energy and capacity) occurring prior to January 1, 2003.  Additionally, to clarify in its tariff the reasonableness standard adopted by the Commission, SDG&amp;E has revised the NTBCMA to include the start and end date of the annual period for bilateral transactions delivered or requiring delivery.  The initial annual period shall start upon the effective date of Commission D.00-09-075 and will end June 30, 2001.</w:t>
            </w:r>
          </w:p>
          <w:p>
            <w:pPr>
              <w:pStyle w:val="Normal"/>
              <w:rPr>
                <w:rFonts w:ascii="Times New Roman" w:hAnsi="Times New Roman" w:eastAsia="Times New Roman" w:cs="Times New Roman"/>
              </w:rPr>
            </w:pPr>
            <w:r>
              <w:rPr>
                <w:rFonts w:eastAsia="Times New Roman" w:cs="Times New Roman"/>
              </w:rPr>
            </w:r>
          </w:p>
          <w:p>
            <w:pPr>
              <w:pStyle w:val="Normal"/>
              <w:jc w:val="both"/>
              <w:rPr/>
            </w:pPr>
            <w:r>
              <w:rPr/>
              <w:t xml:space="preserve">Ordering Paragraph 8, of D.00-09-075 also directs SDG&amp;E to file an advice letter to inform the Commission of any markets in which its affiliates or subsidiaries operate and in which SDG&amp;E intends to procure electricity or ancillary services.  SDG&amp;E says that it, “does not have precise knowledge of the markets in which Sempra Energy’s other affiliates or subsidiaries operate.  SDG&amp;E’s affiliates, including Sempra Energy Trading, Sempra Energy Solutions, and Sempra Energy Resources, from time-to-time conduct business in all electricity markets throughout the Western Systems Coordinating Council (WSCC).  SDG&amp;E hereby informs the Commission that it intends to procure energy and arrange ancillary service capacity through the California Power Exchange (PX), the California Independent System Operator (ISO), and through the bilateral market.”   </w:t>
            </w:r>
          </w:p>
          <w:p>
            <w:pPr>
              <w:pStyle w:val="Normal"/>
              <w:rPr/>
            </w:pPr>
            <w:r>
              <w:rPr/>
            </w:r>
          </w:p>
          <w:p>
            <w:pPr>
              <w:pStyle w:val="Normal"/>
              <w:rPr>
                <w:u w:val="single"/>
              </w:rPr>
            </w:pPr>
            <w:r>
              <w:rPr>
                <w:u w:val="single"/>
              </w:rPr>
              <w:t>This filing replaces SDG&amp;E’s Advice Letter 1256-E in its entirety.</w:t>
            </w:r>
          </w:p>
          <w:p>
            <w:pPr>
              <w:pStyle w:val="Normal"/>
              <w:jc w:val="both"/>
              <w:rPr>
                <w:u w:val="single"/>
              </w:rPr>
            </w:pPr>
            <w:r>
              <w:rPr>
                <w:u w:val="single"/>
              </w:rPr>
            </w:r>
          </w:p>
          <w:p>
            <w:pPr>
              <w:pStyle w:val="Normal"/>
              <w:tabs>
                <w:tab w:val="clear" w:pos="720"/>
                <w:tab w:val="left" w:pos="9180" w:leader="none"/>
              </w:tabs>
              <w:ind w:start="720" w:end="0"/>
              <w:jc w:val="both"/>
              <w:rPr/>
            </w:pPr>
            <w:r>
              <w:rPr/>
            </w:r>
          </w:p>
        </w:tc>
      </w:tr>
    </w:tbl>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SDG&amp;E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Strong">
    <w:name w:val="Strong"/>
    <w:qFormat/>
    <w:rPr>
      <w:b/>
      <w:bCs/>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widowControl w:val="false"/>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2000-11-01T16:35:00Z</dcterms:created>
  <dc:creator>Arter &amp; Hadden</dc:creator>
  <dc:description/>
  <dc:language>en-CA</dc:language>
  <cp:lastModifiedBy>Arter &amp; Hadden</cp:lastModifiedBy>
  <cp:lastPrinted>2000-11-01T11:42:00Z</cp:lastPrinted>
  <dcterms:modified xsi:type="dcterms:W3CDTF">2000-11-01T17:12:00Z</dcterms:modified>
  <cp:revision>4</cp:revision>
  <dc:subject/>
  <dc:title>A</dc:title>
</cp:coreProperties>
</file>