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0"/>
        <w:ind w:hanging="0" w:end="0"/>
        <w:jc w:val="center"/>
        <w:rPr>
          <w:b/>
          <w:bCs/>
          <w:u w:val="single"/>
        </w:rPr>
      </w:pPr>
      <w:r>
        <w:rPr>
          <w:b/>
          <w:bCs/>
          <w:u w:val="single"/>
        </w:rPr>
        <w:t>SoCalGas Advice Letter Summary</w:t>
        <w:br/>
        <w:br/>
        <w:t>November 18, 2001</w:t>
      </w:r>
    </w:p>
    <w:p>
      <w:pPr>
        <w:pStyle w:val="Body"/>
        <w:spacing w:before="0" w:after="0"/>
        <w:ind w:hanging="0" w:end="0"/>
        <w:jc w:val="center"/>
        <w:rPr>
          <w:b/>
          <w:bCs/>
          <w:u w:val="single"/>
        </w:rPr>
      </w:pPr>
      <w:r>
        <w:rPr>
          <w:b/>
          <w:bCs/>
          <w:u w:val="single"/>
        </w:rPr>
      </w:r>
    </w:p>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3079</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11/15/01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12/5/01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By this advice letter, SoCalGas is informing the Commission of the formation of three new subsidiaries.  The subsidiaries are CES/ Way Capital One, LLC, CES/ Way Capital Two, LLC and CES/ Way Capital Three, LLC, all of which are described as being engaged in “Energy Services.”</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3080</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11/16/01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12/6/01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The purpose of this filing is to request Commission authority to allow SoCalGas to reallocate self-generation incentive program funds for 2001 among the non-renewable technology categories (Levels 2 and 3).  This reallocation will maximize the amount of new self generation capacity installed this year while still fully meeting the Commission’s intent to not withhold any funding available for renewable self generation technologies (Level 1).  Since the Self Generation Incentive program was first initiated by the Commission on March 27, 2001, SoCalGas has received two funding requests for Level 2 technologies resulting in no funding reservations. However, SoCalGas has received 25 funding requests for Level 3 technologies resulting in over $1.9 million in funding reservations.  At the current pace, the Level 3 budget will be exhausted before the end of the year while the Level 2 budget will still have substantial funds available.  Customers have indicated a strong preference for Level 3 technologies over Level 2 technologies as evidenced by the disparity in applications.  It appears this disparity exists due to the much lower installed cost per watt and much wider variety of choices available from manufacturers, distributors, and packagers of Level 3 technologies.  These factors make it more desirable to purchase, install, and operate Level 3 technologies.</w:t>
            </w:r>
          </w:p>
        </w:tc>
      </w:tr>
    </w:tbl>
    <w:p>
      <w:pPr>
        <w:pStyle w:val="Body"/>
        <w:spacing w:before="0" w:after="0"/>
        <w:ind w:hanging="0" w:end="0"/>
        <w:jc w:val="both"/>
        <w:rPr>
          <w:b/>
          <w:bCs/>
          <w:u w:val="single"/>
        </w:rPr>
      </w:pPr>
      <w:r>
        <w:rPr>
          <w:b/>
          <w:bCs/>
          <w:u w:val="single"/>
        </w:rPr>
      </w:r>
    </w:p>
    <w:p>
      <w:pPr>
        <w:pStyle w:val="Body"/>
        <w:spacing w:before="0" w:after="0"/>
        <w:ind w:hanging="0" w:end="0"/>
        <w:jc w:val="both"/>
        <w:rPr>
          <w:b/>
          <w:bCs/>
          <w:u w:val="single"/>
        </w:rPr>
      </w:pPr>
      <w:r>
        <w:rPr>
          <w:b/>
          <w:bCs/>
          <w:u w:val="single"/>
        </w:rPr>
      </w:r>
    </w:p>
    <w:p>
      <w:pPr>
        <w:pStyle w:val="Body"/>
        <w:spacing w:before="0" w:after="0"/>
        <w:ind w:hanging="0" w:end="0"/>
        <w:jc w:val="both"/>
        <w:rPr>
          <w:b/>
          <w:bCs/>
          <w:u w:val="single"/>
        </w:rPr>
      </w:pPr>
      <w:r>
        <w:rPr>
          <w:b/>
          <w:bCs/>
          <w:u w:val="single"/>
        </w:rPr>
      </w:r>
    </w:p>
    <w:sectPr>
      <w:headerReference w:type="default" r:id="rId2"/>
      <w:headerReference w:type="first" r:id="rId3"/>
      <w:type w:val="nextPage"/>
      <w:pgSz w:w="12240" w:h="15840"/>
      <w:pgMar w:left="1296" w:right="1296" w:gutter="0" w:header="720" w:top="1152" w:footer="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2001-11-20T12:54:00Z</dcterms:created>
  <dc:creator>Arter &amp; Hadden</dc:creator>
  <dc:description/>
  <dc:language>en-CA</dc:language>
  <cp:lastModifiedBy>Daniel W. Douglass</cp:lastModifiedBy>
  <cp:lastPrinted>2001-11-09T15:02:00Z</cp:lastPrinted>
  <dcterms:modified xsi:type="dcterms:W3CDTF">2001-11-20T12:54:00Z</dcterms:modified>
  <cp:revision>2</cp:revision>
  <dc:subject/>
  <dc:title>A</dc:title>
</cp:coreProperties>
</file>