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widowControl/>
        <w:ind w:hanging="0" w:end="0"/>
        <w:jc w:val="center"/>
        <w:rPr>
          <w:b/>
          <w:u w:val="single"/>
        </w:rPr>
      </w:pPr>
      <w:r>
        <w:rPr>
          <w:b/>
          <w:u w:val="single"/>
        </w:rPr>
        <w:t>SDG&amp;E Advice Letter Summary</w:t>
      </w:r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  <w:t>November 18, 2001</w:t>
      </w:r>
      <w:bookmarkStart w:id="0" w:name="zEndAddressee"/>
      <w:bookmarkEnd w:id="0"/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165"/>
        <w:gridCol w:w="298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1376-E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11/14/01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12/4/01</w:t>
            </w:r>
          </w:p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Cs/>
                <w:u w:val="single"/>
              </w:rPr>
            </w:pPr>
            <w:r>
              <w:rPr/>
              <w:t>The purpose of this advice letter is to seek a modification to the Energy Efficiency Memorandum Account due to an inadvertent error the utility made when filing Advice Letter 1235-E-B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2165"/>
        <w:gridCol w:w="2988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Date Filed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Comments Due</w:t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1377-E / 1285-G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11/14/01</w:t>
            </w:r>
          </w:p>
        </w:tc>
        <w:tc>
          <w:tcPr>
            <w:tcW w:w="21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  <w:t>12/4/01</w:t>
            </w:r>
          </w:p>
          <w:p>
            <w:pPr>
              <w:pStyle w:val="Body"/>
              <w:widowControl/>
              <w:spacing w:before="0" w:after="0"/>
              <w:ind w:hanging="0" w:end="0"/>
              <w:jc w:val="center"/>
              <w:rPr/>
            </w:pPr>
            <w:r>
              <w:rPr/>
            </w:r>
          </w:p>
        </w:tc>
        <w:tc>
          <w:tcPr>
            <w:tcW w:w="29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jc w:val="center"/>
              <w:rPr>
                <w:b/>
              </w:rPr>
            </w:pPr>
            <w:r>
              <w:rPr>
                <w:b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widowControl/>
              <w:spacing w:before="0" w:after="0"/>
              <w:ind w:hanging="0" w:end="0"/>
              <w:rPr>
                <w:b/>
              </w:rPr>
            </w:pPr>
            <w:r>
              <w:rPr>
                <w:b/>
              </w:rPr>
              <w:t xml:space="preserve">Analysis:  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  <w:bCs/>
                <w:u w:val="single"/>
              </w:rPr>
            </w:pPr>
            <w:r>
              <w:rPr/>
              <w:t>The purpose of this filing is to notify the Commission of the creation of three new affiliates.  These are the same ones referenced in the SoCalGas summary of this date.</w:t>
            </w:r>
          </w:p>
          <w:p>
            <w:pPr>
              <w:pStyle w:val="Normal"/>
              <w:widowControl/>
              <w:tabs>
                <w:tab w:val="clear" w:pos="720"/>
                <w:tab w:val="left" w:pos="9180" w:leader="none"/>
              </w:tabs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Body"/>
        <w:widowControl/>
        <w:spacing w:before="0" w:after="0"/>
        <w:ind w:hanging="0" w:end="0"/>
        <w:jc w:val="center"/>
        <w:rPr>
          <w:b/>
          <w:u w:val="single"/>
        </w:rPr>
      </w:pPr>
      <w:r>
        <w:rPr>
          <w:b/>
          <w:u w:val="single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576" w:top="1152" w:footer="288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widowControl/>
            <w:snapToGrid w:val="false"/>
            <w:rPr/>
          </w:pPr>
          <w:r>
            <w:rPr/>
          </w:r>
        </w:p>
        <w:p>
          <w:pPr>
            <w:pStyle w:val="FooterTxt"/>
            <w:widowControl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widowControl/>
            <w:jc w:val="center"/>
            <w:rPr/>
          </w:pPr>
          <w:r>
            <w:rPr>
              <w:rStyle w:val="PageNumber"/>
              <w:sz w:val="24"/>
            </w:rPr>
            <w:fldChar w:fldCharType="begin"/>
          </w:r>
          <w:r>
            <w:rPr>
              <w:rStyle w:val="PageNumber"/>
              <w:sz w:val="24"/>
            </w:rPr>
            <w:instrText xml:space="preserve"> PAGE </w:instrText>
          </w:r>
          <w:r>
            <w:rPr>
              <w:rStyle w:val="PageNumber"/>
              <w:sz w:val="24"/>
            </w:rPr>
            <w:fldChar w:fldCharType="separate"/>
          </w:r>
          <w:r>
            <w:rPr>
              <w:rStyle w:val="PageNumber"/>
              <w:sz w:val="24"/>
            </w:rPr>
            <w:t>0</w:t>
          </w:r>
          <w:r>
            <w:rPr>
              <w:rStyle w:val="PageNumber"/>
              <w:sz w:val="24"/>
            </w:rPr>
            <w:fldChar w:fldCharType="end"/>
          </w:r>
          <w:r>
            <w:rPr>
              <w:rStyle w:val="PageNumber"/>
              <w:sz w:val="24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widowControl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widowControl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>SDG&amp;E Advice Letter Summary</w:t>
    </w:r>
  </w:p>
  <w:p>
    <w:pPr>
      <w:pStyle w:val="Header"/>
      <w:widowControl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widowControl/>
      <w:rPr>
        <w:rStyle w:val="PageNumber"/>
        <w:sz w:val="24"/>
      </w:rPr>
    </w:pPr>
    <w:r>
      <w:rPr/>
    </w:r>
  </w:p>
  <w:p>
    <w:pPr>
      <w:pStyle w:val="Header"/>
      <w:widowControl/>
      <w:rPr>
        <w:rStyle w:val="PageNumber"/>
        <w:sz w:val="24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20"/>
      <w:vertAlign w:val="superscript"/>
    </w:rPr>
  </w:style>
  <w:style w:type="character" w:styleId="PageNumber">
    <w:name w:val="page number"/>
    <w:basedOn w:val="DefaultParagraphFont"/>
    <w:rPr>
      <w:sz w:val="20"/>
    </w:rPr>
  </w:style>
  <w:style w:type="character" w:styleId="Bold">
    <w:name w:val="Bold"/>
    <w:basedOn w:val="DefaultParagraphFont"/>
    <w:qFormat/>
    <w:rPr>
      <w:b/>
      <w:sz w:val="20"/>
    </w:rPr>
  </w:style>
  <w:style w:type="character" w:styleId="BoldUnd">
    <w:name w:val="BoldUnd"/>
    <w:basedOn w:val="DefaultParagraphFont"/>
    <w:qFormat/>
    <w:rPr>
      <w:b/>
      <w:sz w:val="20"/>
      <w:u w:val="single"/>
    </w:rPr>
  </w:style>
  <w:style w:type="character" w:styleId="Underline">
    <w:name w:val="Underline"/>
    <w:basedOn w:val="DefaultParagraphFont"/>
    <w:qFormat/>
    <w:rPr>
      <w:sz w:val="20"/>
      <w:u w:val="single"/>
    </w:rPr>
  </w:style>
  <w:style w:type="character" w:styleId="FieldMark">
    <w:name w:val="FieldMark"/>
    <w:basedOn w:val="DefaultParagraphFont"/>
    <w:qFormat/>
    <w:rPr>
      <w:b/>
      <w:color w:val="0000FF"/>
      <w:sz w:val="20"/>
    </w:rPr>
  </w:style>
  <w:style w:type="character" w:styleId="OptionalParas">
    <w:name w:val="OptionalParas"/>
    <w:basedOn w:val="DefaultParagraphFont"/>
    <w:qFormat/>
    <w:rPr>
      <w:color w:val="0000FF"/>
      <w:sz w:val="20"/>
    </w:rPr>
  </w:style>
  <w:style w:type="character" w:styleId="Strong">
    <w:name w:val="Strong"/>
    <w:qFormat/>
    <w:rPr>
      <w:b/>
      <w:sz w:val="20"/>
    </w:rPr>
  </w:style>
  <w:style w:type="character" w:styleId="DocTitle">
    <w:name w:val="DocTitle"/>
    <w:basedOn w:val="DefaultParagraphFont"/>
    <w:qFormat/>
    <w:rPr>
      <w:b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2">
    <w:name w:val="Body Text 2"/>
    <w:basedOn w:val="Normal"/>
    <w:qFormat/>
    <w:pPr>
      <w:spacing w:before="0" w:after="240"/>
      <w:ind w:hanging="0" w:start="1440" w:end="0"/>
    </w:pPr>
    <w:rPr/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/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</w:pPr>
    <w:rPr/>
  </w:style>
  <w:style w:type="paragraph" w:styleId="IndentOneInch">
    <w:name w:val="IndentOneInch"/>
    <w:basedOn w:val="Body"/>
    <w:qFormat/>
    <w:pPr>
      <w:ind w:firstLine="720" w:start="1440" w:end="0"/>
    </w:pPr>
    <w:rPr/>
  </w:style>
  <w:style w:type="paragraph" w:styleId="IndentTwoInches">
    <w:name w:val="IndentTwoInches"/>
    <w:basedOn w:val="Body"/>
    <w:qFormat/>
    <w:pPr>
      <w:ind w:firstLine="720" w:start="2880" w:end="0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BodyText21">
    <w:name w:val="Body Text 21"/>
    <w:basedOn w:val="Normal"/>
    <w:qFormat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qFormat/>
    <w:pPr>
      <w:widowControl/>
      <w:spacing w:before="100" w:after="100"/>
    </w:pPr>
    <w:rPr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2001-11-20T12:42:00Z</dcterms:created>
  <dc:creator>DW Douglass</dc:creator>
  <dc:description/>
  <dc:language>en-CA</dc:language>
  <cp:lastModifiedBy>Daniel W. Douglass</cp:lastModifiedBy>
  <cp:lastPrinted>2001-11-09T15:29:00Z</cp:lastPrinted>
  <dcterms:modified xsi:type="dcterms:W3CDTF">2001-11-20T12:42:00Z</dcterms:modified>
  <cp:revision>2</cp:revision>
  <dc:subject/>
  <dc:title>SDG&amp;E Advice Letters</dc:title>
</cp:coreProperties>
</file>