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ind w:hanging="0" w:end="0"/>
        <w:jc w:val="center"/>
        <w:rPr>
          <w:b/>
          <w:u w:val="single"/>
        </w:rPr>
      </w:pPr>
      <w:r>
        <w:rPr>
          <w:b/>
          <w:u w:val="single"/>
        </w:rPr>
        <w:t>Edison Advice Letter Summary</w:t>
        <w:br/>
        <w:br/>
        <w:t>November 18, 2001</w:t>
      </w:r>
    </w:p>
    <w:p>
      <w:pPr>
        <w:pStyle w:val="Body"/>
        <w:widowControl/>
        <w:spacing w:before="0" w:after="0"/>
        <w:ind w:hanging="0" w:end="0"/>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255"/>
        <w:gridCol w:w="289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1585-E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11/9/01</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11/29/01</w:t>
            </w:r>
          </w:p>
          <w:p>
            <w:pPr>
              <w:pStyle w:val="Body"/>
              <w:widowControl/>
              <w:spacing w:before="0" w:after="0"/>
              <w:ind w:hanging="0" w:end="0"/>
              <w:jc w:val="center"/>
              <w:rPr/>
            </w:pPr>
            <w:r>
              <w:rPr/>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Ignore</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187" w:start="187" w:end="187"/>
              <w:jc w:val="both"/>
              <w:rPr>
                <w:b/>
              </w:rPr>
            </w:pPr>
            <w:r>
              <w:rPr>
                <w:b/>
              </w:rPr>
              <w:t>Analysis:</w:t>
            </w:r>
          </w:p>
          <w:p>
            <w:pPr>
              <w:pStyle w:val="WW-BodyText2"/>
              <w:widowControl/>
              <w:overflowPunct w:val="true"/>
              <w:textAlignment w:val="auto"/>
              <w:rPr/>
            </w:pPr>
            <w:r>
              <w:rPr/>
              <w:t>This advice filing modifies a Memorandum Account to reflect additional amounts to be transferred to the California Energy Commission (“CEC”); and (2) provides a Supplement to the Joint Agreement with the CEC to reflect the funding transfer for the additional studies required by D.01-06-037.</w:t>
            </w:r>
          </w:p>
          <w:p>
            <w:pPr>
              <w:pStyle w:val="WW-BodyText2"/>
              <w:widowControl/>
              <w:rPr/>
            </w:pPr>
            <w:r>
              <w:rPr/>
            </w:r>
          </w:p>
        </w:tc>
      </w:tr>
    </w:tbl>
    <w:p>
      <w:pPr>
        <w:pStyle w:val="Body"/>
        <w:widowControl/>
        <w:spacing w:before="0" w:after="0"/>
        <w:ind w:hanging="0" w:end="0"/>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1368"/>
        <w:gridCol w:w="1490"/>
        <w:gridCol w:w="1565"/>
        <w:gridCol w:w="2255"/>
        <w:gridCol w:w="2898"/>
      </w:tblGrid>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A.L. #</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Filed By</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Date Filed</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Comments Due</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Recommendation</w:t>
            </w:r>
          </w:p>
        </w:tc>
      </w:tr>
      <w:tr>
        <w:trPr/>
        <w:tc>
          <w:tcPr>
            <w:tcW w:w="136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1586-E</w:t>
            </w:r>
          </w:p>
        </w:tc>
        <w:tc>
          <w:tcPr>
            <w:tcW w:w="1490"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Edison</w:t>
            </w:r>
          </w:p>
        </w:tc>
        <w:tc>
          <w:tcPr>
            <w:tcW w:w="1565"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pPr>
            <w:r>
              <w:rPr/>
              <w:t>11/14/01</w:t>
            </w:r>
          </w:p>
        </w:tc>
        <w:tc>
          <w:tcPr>
            <w:tcW w:w="2255" w:type="dxa"/>
            <w:tcBorders>
              <w:top w:val="single" w:sz="6" w:space="0" w:color="000000"/>
              <w:start w:val="single" w:sz="6" w:space="0" w:color="000000"/>
              <w:bottom w:val="single" w:sz="6" w:space="0" w:color="000000"/>
              <w:end w:val="single" w:sz="6" w:space="0" w:color="000000"/>
            </w:tcBorders>
          </w:tcPr>
          <w:p>
            <w:pPr>
              <w:pStyle w:val="Body"/>
              <w:widowControl/>
              <w:spacing w:before="0" w:after="0"/>
              <w:ind w:hanging="0" w:end="0"/>
              <w:jc w:val="center"/>
              <w:rPr/>
            </w:pPr>
            <w:r>
              <w:rPr/>
              <w:t>11/28/01</w:t>
            </w:r>
          </w:p>
          <w:p>
            <w:pPr>
              <w:pStyle w:val="Body"/>
              <w:widowControl/>
              <w:spacing w:before="0" w:after="0"/>
              <w:ind w:hanging="0" w:end="0"/>
              <w:jc w:val="center"/>
              <w:rPr/>
            </w:pPr>
            <w:r>
              <w:rPr/>
              <w:t>[note 14-day review]</w:t>
            </w:r>
          </w:p>
        </w:tc>
        <w:tc>
          <w:tcPr>
            <w:tcW w:w="2898" w:type="dxa"/>
            <w:tcBorders>
              <w:top w:val="single" w:sz="6" w:space="0" w:color="000000"/>
              <w:start w:val="single" w:sz="6" w:space="0" w:color="000000"/>
              <w:bottom w:val="single" w:sz="6" w:space="0" w:color="000000"/>
              <w:end w:val="single" w:sz="6" w:space="0" w:color="000000"/>
            </w:tcBorders>
          </w:tcPr>
          <w:p>
            <w:pPr>
              <w:pStyle w:val="Body"/>
              <w:widowControl/>
              <w:spacing w:before="0" w:after="240"/>
              <w:ind w:hanging="0" w:end="0"/>
              <w:jc w:val="center"/>
              <w:rPr>
                <w:b/>
              </w:rPr>
            </w:pPr>
            <w:r>
              <w:rPr>
                <w:b/>
              </w:rPr>
              <w:t>SHOULD BE REVIEWED</w:t>
            </w:r>
          </w:p>
        </w:tc>
      </w:tr>
      <w:tr>
        <w:trPr/>
        <w:tc>
          <w:tcPr>
            <w:tcW w:w="9576" w:type="dxa"/>
            <w:gridSpan w:val="5"/>
            <w:tcBorders>
              <w:top w:val="single" w:sz="6" w:space="0" w:color="000000"/>
              <w:start w:val="single" w:sz="6" w:space="0" w:color="000000"/>
              <w:bottom w:val="single" w:sz="6" w:space="0" w:color="000000"/>
              <w:end w:val="single" w:sz="6" w:space="0" w:color="000000"/>
            </w:tcBorders>
          </w:tcPr>
          <w:p>
            <w:pPr>
              <w:pStyle w:val="Body"/>
              <w:widowControl/>
              <w:spacing w:before="0" w:after="120"/>
              <w:ind w:hanging="187" w:start="187" w:end="187"/>
              <w:jc w:val="both"/>
              <w:rPr>
                <w:b/>
              </w:rPr>
            </w:pPr>
            <w:r>
              <w:rPr>
                <w:b/>
              </w:rPr>
              <w:t>Analysis:</w:t>
            </w:r>
          </w:p>
          <w:p>
            <w:pPr>
              <w:pStyle w:val="Normal"/>
              <w:widowControl/>
              <w:overflowPunct w:val="true"/>
              <w:jc w:val="both"/>
              <w:textAlignment w:val="auto"/>
              <w:rPr/>
            </w:pPr>
            <w:r>
              <w:rPr/>
              <w:t xml:space="preserve">This advice filing establishes the ratemaking that is necessary to implement a number of the regulatory components included in the October 2, 2001 Settlement Agreement between the CPUC and SCE. </w:t>
            </w:r>
            <w:r>
              <w:rPr>
                <w:sz w:val="16"/>
                <w:szCs w:val="16"/>
              </w:rPr>
              <w:t xml:space="preserve"> </w:t>
            </w:r>
            <w:r>
              <w:rPr/>
              <w:t xml:space="preserve">The sections of this filing include: (1) Background; (2) Ratemaking Structure Effective September 1, 2001; (3) Calculation of Monthly Surplus; (4) Calculation of Monthly Recoverable Costs; (5) Procurement Related Obligations Account (PROACT) Reporting; and (6)  Settlement Rates.  </w:t>
            </w:r>
          </w:p>
          <w:p>
            <w:pPr>
              <w:pStyle w:val="Normal"/>
              <w:widowControl/>
              <w:overflowPunct w:val="true"/>
              <w:jc w:val="both"/>
              <w:textAlignment w:val="auto"/>
              <w:rPr/>
            </w:pPr>
            <w:r>
              <w:rPr/>
            </w:r>
          </w:p>
          <w:p>
            <w:pPr>
              <w:pStyle w:val="Normal"/>
              <w:widowControl/>
              <w:overflowPunct w:val="true"/>
              <w:jc w:val="both"/>
              <w:textAlignment w:val="auto"/>
              <w:rPr>
                <w:rFonts w:ascii="Century Schoolbook" w:hAnsi="Century Schoolbook" w:cs="Century Schoolbook"/>
                <w:szCs w:val="24"/>
              </w:rPr>
            </w:pPr>
            <w:r>
              <w:rPr/>
              <w:t>As background, on October 2, 2001, SCE and the Commission entered into a Settlement Agreement of the filed-rate doctrine lawsuit that SCE filed against the Commission, which, among other things, establishes</w:t>
            </w:r>
            <w:r>
              <w:rPr>
                <w:szCs w:val="24"/>
              </w:rPr>
              <w:t xml:space="preserve"> Settlement Rates and new ratemaking mechanisms which are to be effective September 1, 2001, and which replace AB1890 rates and ratemaking.  On October 5, 2001, the U.S. District Court approved the Settlement Agreement.  The Settlement Agreement provides that the Commission shall adopt decisions and orders as it deems necessary to implement and carry out the provisions of the Agreement, and specifies that the Commission will establish the PROACT account by order.</w:t>
            </w:r>
            <w:r>
              <w:rPr>
                <w:sz w:val="16"/>
                <w:szCs w:val="16"/>
              </w:rPr>
              <w:t xml:space="preserve">  </w:t>
            </w:r>
            <w:r>
              <w:rPr>
                <w:szCs w:val="24"/>
              </w:rPr>
              <w:t>This advice letter sets forth the tariff modifications and ratemaking structure that is needed to implement the PROACT account beginning on September 1, 2001.  The advice letter is quite lengthy and is in multiple Adobe files, which will be sent to you along with this summary.  I will also send this summary to AReM, also</w:t>
            </w:r>
          </w:p>
          <w:p>
            <w:pPr>
              <w:pStyle w:val="WW-BodyText2"/>
              <w:widowControl/>
              <w:rPr>
                <w:rFonts w:ascii="Century Schoolbook" w:hAnsi="Century Schoolbook" w:cs="Century Schoolbook"/>
                <w:szCs w:val="24"/>
              </w:rPr>
            </w:pPr>
            <w:r>
              <w:rPr>
                <w:rFonts w:cs="Century Schoolbook" w:ascii="Century Schoolbook" w:hAnsi="Century Schoolbook"/>
                <w:szCs w:val="24"/>
              </w:rPr>
            </w:r>
          </w:p>
        </w:tc>
      </w:tr>
    </w:tbl>
    <w:p>
      <w:pPr>
        <w:pStyle w:val="Body"/>
        <w:widowControl/>
        <w:spacing w:before="0" w:after="0"/>
        <w:ind w:hanging="0" w:end="0"/>
        <w:jc w:val="both"/>
        <w:rPr>
          <w:b/>
          <w:u w:val="single"/>
        </w:rPr>
      </w:pPr>
      <w:r>
        <w:rPr>
          <w:b/>
          <w:u w:val="single"/>
        </w:rPr>
      </w:r>
    </w:p>
    <w:p>
      <w:pPr>
        <w:pStyle w:val="Body"/>
        <w:widowControl/>
        <w:spacing w:before="0" w:after="0"/>
        <w:ind w:hanging="0" w:end="0"/>
        <w:jc w:val="both"/>
        <w:rPr>
          <w:b/>
          <w:u w:val="single"/>
        </w:rPr>
      </w:pPr>
      <w:r>
        <w:rPr>
          <w:b/>
          <w:u w:val="single"/>
        </w:rPr>
      </w:r>
    </w:p>
    <w:p>
      <w:pPr>
        <w:pStyle w:val="Normal"/>
        <w:rPr>
          <w:b/>
          <w:u w:val="single"/>
        </w:rPr>
      </w:pPr>
      <w:r>
        <w:rPr>
          <w:b/>
          <w:u w:val="single"/>
        </w:rPr>
      </w:r>
    </w:p>
    <w:sectPr>
      <w:headerReference w:type="default" r:id="rId2"/>
      <w:headerReference w:type="first" r:id="rId3"/>
      <w:footerReference w:type="default" r:id="rId4"/>
      <w:footerReference w:type="first" r:id="rId5"/>
      <w:type w:val="nextPage"/>
      <w:pgSz w:w="12240" w:h="15840"/>
      <w:pgMar w:left="1440" w:right="1440" w:gutter="0" w:header="720" w:top="1296" w:footer="432"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79" w:type="dxa"/>
      <w:jc w:val="start"/>
      <w:tblInd w:w="0" w:type="dxa"/>
      <w:tblLayout w:type="fixed"/>
      <w:tblCellMar>
        <w:top w:w="0" w:type="dxa"/>
        <w:start w:w="108" w:type="dxa"/>
        <w:bottom w:w="0" w:type="dxa"/>
        <w:end w:w="108" w:type="dxa"/>
      </w:tblCellMar>
    </w:tblPr>
    <w:tblGrid>
      <w:gridCol w:w="3802"/>
      <w:gridCol w:w="1987"/>
      <w:gridCol w:w="3690"/>
    </w:tblGrid>
    <w:tr>
      <w:trPr/>
      <w:tc>
        <w:tcPr>
          <w:tcW w:w="3802" w:type="dxa"/>
          <w:tcBorders/>
        </w:tcPr>
        <w:p>
          <w:pPr>
            <w:pStyle w:val="FooterTxt"/>
            <w:widowControl/>
            <w:snapToGrid w:val="false"/>
            <w:rPr/>
          </w:pPr>
          <w:r>
            <w:rPr/>
          </w:r>
        </w:p>
        <w:p>
          <w:pPr>
            <w:pStyle w:val="FooterTxt"/>
            <w:widowControl/>
            <w:rPr/>
          </w:pPr>
          <w:r>
            <w:rPr/>
          </w:r>
        </w:p>
      </w:tc>
      <w:tc>
        <w:tcPr>
          <w:tcW w:w="1987" w:type="dxa"/>
          <w:tcBorders/>
        </w:tcPr>
        <w:p>
          <w:pPr>
            <w:pStyle w:val="Normal"/>
            <w:widowControl/>
            <w:jc w:val="center"/>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r>
            <w:rPr>
              <w:rStyle w:val="PageNumber"/>
              <w:sz w:val="24"/>
            </w:rPr>
            <w:t>.</w:t>
          </w:r>
        </w:p>
      </w:tc>
      <w:tc>
        <w:tcPr>
          <w:tcW w:w="3690" w:type="dxa"/>
          <w:tcBorders/>
        </w:tcPr>
        <w:p>
          <w:pPr>
            <w:pStyle w:val="Normal"/>
            <w:widowControl/>
            <w:snapToGrid w:val="false"/>
            <w:jc w:val="end"/>
            <w:rPr/>
          </w:pPr>
          <w:r>
            <w:rPr/>
          </w:r>
        </w:p>
      </w:tc>
    </w:tr>
  </w:tbl>
  <w:p>
    <w:pPr>
      <w:pStyle w:val="Footer"/>
      <w:widowContro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SCE Advice Letter Summary</w:t>
    </w:r>
  </w:p>
  <w:p>
    <w:pPr>
      <w:pStyle w:val="Header"/>
      <w:rPr/>
    </w:pPr>
    <w:r>
      <w:rPr/>
      <w:fldChar w:fldCharType="begin"/>
    </w:r>
    <w:r>
      <w:rPr/>
      <w:instrText xml:space="preserve"> DATE \@"MMMM\ d', 'yyyy" </w:instrText>
    </w:r>
    <w:r>
      <w:rPr/>
      <w:fldChar w:fldCharType="separate"/>
    </w:r>
    <w:r>
      <w:rPr/>
      <w:t>September 28, 2025</w:t>
    </w:r>
    <w: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keepLines/>
      <w:numPr>
        <w:ilvl w:val="0"/>
        <w:numId w:val="1"/>
      </w:numPr>
      <w:jc w:val="center"/>
      <w:outlineLvl w:val="0"/>
    </w:pPr>
    <w:rPr>
      <w:b/>
    </w:rPr>
  </w:style>
  <w:style w:type="paragraph" w:styleId="Heading2">
    <w:name w:val="heading 2"/>
    <w:basedOn w:val="Normal"/>
    <w:next w:val="Normal"/>
    <w:qFormat/>
    <w:pPr>
      <w:numPr>
        <w:ilvl w:val="1"/>
        <w:numId w:val="1"/>
      </w:numPr>
      <w:ind w:hanging="720" w:start="1440" w:end="0"/>
      <w:outlineLvl w:val="1"/>
    </w:pPr>
    <w:rPr>
      <w:b/>
    </w:rPr>
  </w:style>
  <w:style w:type="paragraph" w:styleId="Heading3">
    <w:name w:val="heading 3"/>
    <w:basedOn w:val="Normal"/>
    <w:next w:val="Normal"/>
    <w:qFormat/>
    <w:pPr>
      <w:numPr>
        <w:ilvl w:val="2"/>
        <w:numId w:val="1"/>
      </w:numPr>
      <w:ind w:hanging="720" w:start="2160" w:end="0"/>
      <w:outlineLvl w:val="2"/>
    </w:pPr>
    <w:rPr>
      <w:b/>
    </w:rPr>
  </w:style>
  <w:style w:type="paragraph" w:styleId="Heading4">
    <w:name w:val="heading 4"/>
    <w:basedOn w:val="Normal"/>
    <w:next w:val="Normal"/>
    <w:qFormat/>
    <w:pPr>
      <w:numPr>
        <w:ilvl w:val="3"/>
        <w:numId w:val="1"/>
      </w:numPr>
      <w:ind w:hanging="720" w:start="2880" w:end="0"/>
      <w:outlineLvl w:val="3"/>
    </w:pPr>
    <w:rPr>
      <w:b/>
    </w:rPr>
  </w:style>
  <w:style w:type="paragraph" w:styleId="Heading5">
    <w:name w:val="heading 5"/>
    <w:basedOn w:val="Normal"/>
    <w:next w:val="Normal"/>
    <w:qFormat/>
    <w:pPr>
      <w:numPr>
        <w:ilvl w:val="4"/>
        <w:numId w:val="1"/>
      </w:numPr>
      <w:ind w:hanging="720" w:start="3600" w:end="0"/>
      <w:outlineLvl w:val="4"/>
    </w:pPr>
    <w:rPr>
      <w:b/>
    </w:rPr>
  </w:style>
  <w:style w:type="paragraph" w:styleId="Heading6">
    <w:name w:val="heading 6"/>
    <w:basedOn w:val="Normal"/>
    <w:next w:val="Normal"/>
    <w:qFormat/>
    <w:pPr>
      <w:numPr>
        <w:ilvl w:val="5"/>
        <w:numId w:val="1"/>
      </w:numPr>
      <w:ind w:hanging="720" w:start="4320" w:end="0"/>
      <w:outlineLvl w:val="5"/>
    </w:pPr>
    <w:rPr>
      <w:b/>
    </w:rPr>
  </w:style>
  <w:style w:type="paragraph" w:styleId="Heading7">
    <w:name w:val="heading 7"/>
    <w:basedOn w:val="Normal"/>
    <w:next w:val="Normal"/>
    <w:qFormat/>
    <w:pPr>
      <w:numPr>
        <w:ilvl w:val="6"/>
        <w:numId w:val="1"/>
      </w:numPr>
      <w:ind w:hanging="720" w:start="5040" w:end="0"/>
      <w:outlineLvl w:val="6"/>
    </w:pPr>
    <w:rPr>
      <w:b/>
    </w:rPr>
  </w:style>
  <w:style w:type="paragraph" w:styleId="Heading8">
    <w:name w:val="heading 8"/>
    <w:basedOn w:val="Normal"/>
    <w:next w:val="Normal"/>
    <w:qFormat/>
    <w:pPr>
      <w:numPr>
        <w:ilvl w:val="7"/>
        <w:numId w:val="1"/>
      </w:numPr>
      <w:ind w:hanging="720" w:start="5760" w:end="0"/>
      <w:outlineLvl w:val="7"/>
    </w:pPr>
    <w:rPr>
      <w:b/>
    </w:rPr>
  </w:style>
  <w:style w:type="paragraph" w:styleId="Heading9">
    <w:name w:val="heading 9"/>
    <w:basedOn w:val="Normal"/>
    <w:next w:val="Normal"/>
    <w:qFormat/>
    <w:pPr>
      <w:numPr>
        <w:ilvl w:val="8"/>
        <w:numId w:val="1"/>
      </w:numPr>
      <w:ind w:hanging="720" w:start="6480" w:end="0"/>
      <w:outlineLvl w:val="8"/>
    </w:pPr>
    <w:rPr>
      <w:b/>
    </w:rPr>
  </w:style>
  <w:style w:type="character" w:styleId="DefaultParagraphFont">
    <w:name w:val="Default Paragraph Font"/>
    <w:qFormat/>
    <w:rPr/>
  </w:style>
  <w:style w:type="character" w:styleId="FootnoteCharacters">
    <w:name w:val="Footnote Characters"/>
    <w:basedOn w:val="DefaultParagraphFont"/>
    <w:qFormat/>
    <w:rPr>
      <w:sz w:val="20"/>
      <w:vertAlign w:val="superscript"/>
    </w:rPr>
  </w:style>
  <w:style w:type="character" w:styleId="PageNumber">
    <w:name w:val="page number"/>
    <w:basedOn w:val="DefaultParagraphFont"/>
    <w:rPr>
      <w:sz w:val="20"/>
    </w:rPr>
  </w:style>
  <w:style w:type="character" w:styleId="Bold">
    <w:name w:val="Bold"/>
    <w:basedOn w:val="DefaultParagraphFont"/>
    <w:qFormat/>
    <w:rPr>
      <w:b/>
      <w:sz w:val="20"/>
    </w:rPr>
  </w:style>
  <w:style w:type="character" w:styleId="BoldUnd">
    <w:name w:val="BoldUnd"/>
    <w:basedOn w:val="DefaultParagraphFont"/>
    <w:qFormat/>
    <w:rPr>
      <w:b/>
      <w:sz w:val="20"/>
      <w:u w:val="single"/>
    </w:rPr>
  </w:style>
  <w:style w:type="character" w:styleId="Underline">
    <w:name w:val="Underline"/>
    <w:basedOn w:val="DefaultParagraphFont"/>
    <w:qFormat/>
    <w:rPr>
      <w:sz w:val="20"/>
      <w:u w:val="single"/>
    </w:rPr>
  </w:style>
  <w:style w:type="character" w:styleId="FieldMark">
    <w:name w:val="FieldMark"/>
    <w:basedOn w:val="DefaultParagraphFont"/>
    <w:qFormat/>
    <w:rPr>
      <w:b/>
      <w:color w:val="0000FF"/>
      <w:sz w:val="20"/>
    </w:rPr>
  </w:style>
  <w:style w:type="character" w:styleId="OptionalParas">
    <w:name w:val="OptionalParas"/>
    <w:basedOn w:val="DefaultParagraphFont"/>
    <w:qFormat/>
    <w:rPr>
      <w:color w:val="0000FF"/>
      <w:sz w:val="20"/>
    </w:rPr>
  </w:style>
  <w:style w:type="character" w:styleId="DocTitle">
    <w:name w:val="DocTitle"/>
    <w:basedOn w:val="DefaultParagraphFont"/>
    <w:qFormat/>
    <w:rPr>
      <w:b/>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Flush">
    <w:name w:val="Normal Flush"/>
    <w:basedOn w:val="Normal"/>
    <w:qFormat/>
    <w:pPr/>
    <w:rPr/>
  </w:style>
  <w:style w:type="paragraph" w:styleId="BodyText2">
    <w:name w:val="Body Text 2"/>
    <w:basedOn w:val="Normal"/>
    <w:qFormat/>
    <w:pPr>
      <w:spacing w:before="0" w:after="240"/>
      <w:ind w:hanging="0" w:start="1440" w:end="0"/>
    </w:pPr>
    <w:rPr/>
  </w:style>
  <w:style w:type="paragraph" w:styleId="IndentRight">
    <w:name w:val="Indent Right"/>
    <w:basedOn w:val="Normal"/>
    <w:qFormat/>
    <w:pPr>
      <w:spacing w:before="0" w:after="240"/>
      <w:ind w:hanging="0" w:start="0" w:end="144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tyle>
  <w:style w:type="paragraph" w:styleId="FooterTxt">
    <w:name w:val="FooterTxt"/>
    <w:basedOn w:val="Footer"/>
    <w:qFormat/>
    <w:pPr/>
    <w:rPr>
      <w:sz w:val="14"/>
    </w:rPr>
  </w:style>
  <w:style w:type="paragraph" w:styleId="FootnoteText">
    <w:name w:val="footnote text"/>
    <w:basedOn w:val="Normal"/>
    <w:pPr>
      <w:tabs>
        <w:tab w:val="clear" w:pos="720"/>
        <w:tab w:val="left" w:pos="1080" w:leader="none"/>
      </w:tabs>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HeadingTitle">
    <w:name w:val="Heading Title"/>
    <w:basedOn w:val="Normal"/>
    <w:qFormat/>
    <w:pPr>
      <w:keepNext w:val="true"/>
      <w:keepLines/>
      <w:spacing w:before="0" w:after="240"/>
      <w:jc w:val="center"/>
    </w:pPr>
    <w:rPr>
      <w:u w:val="single"/>
    </w:rPr>
  </w:style>
  <w:style w:type="paragraph" w:styleId="IndentLeft">
    <w:name w:val="Indent Left"/>
    <w:basedOn w:val="Normal"/>
    <w:qFormat/>
    <w:pPr>
      <w:spacing w:before="0" w:after="240"/>
      <w:ind w:hanging="0" w:start="1440" w:end="0"/>
    </w:pPr>
    <w:rPr/>
  </w:style>
  <w:style w:type="paragraph" w:styleId="NormalIndent">
    <w:name w:val="Normal Indent"/>
    <w:basedOn w:val="Normal"/>
    <w:qFormat/>
    <w:pPr>
      <w:spacing w:before="0" w:after="240"/>
      <w:ind w:firstLine="1440" w:start="0" w:end="0"/>
    </w:pPr>
    <w:rPr/>
  </w:style>
  <w:style w:type="paragraph" w:styleId="Center">
    <w:name w:val="Center"/>
    <w:basedOn w:val="Normal"/>
    <w:qFormat/>
    <w:pPr>
      <w:suppressAutoHyphens w:val="true"/>
      <w:spacing w:before="0" w:after="240"/>
      <w:jc w:val="center"/>
    </w:pPr>
    <w:rPr/>
  </w:style>
  <w:style w:type="paragraph" w:styleId="Table">
    <w:name w:val="Table"/>
    <w:basedOn w:val="Normal"/>
    <w:qFormat/>
    <w:pPr>
      <w:spacing w:before="40" w:after="40"/>
    </w:pPr>
    <w:rPr/>
  </w:style>
  <w:style w:type="paragraph" w:styleId="IndentLR">
    <w:name w:val="Indent L/R"/>
    <w:basedOn w:val="Normal"/>
    <w:qFormat/>
    <w:pPr>
      <w:spacing w:before="0" w:after="240"/>
      <w:ind w:hanging="0" w:start="1440" w:end="1440"/>
    </w:pPr>
    <w:rPr/>
  </w:style>
  <w:style w:type="paragraph" w:styleId="IndentBlock">
    <w:name w:val="Indent Block"/>
    <w:basedOn w:val="Normal"/>
    <w:qFormat/>
    <w:pPr>
      <w:spacing w:before="0" w:after="240"/>
      <w:ind w:hanging="720" w:start="2160" w:end="0"/>
    </w:pPr>
    <w:rPr/>
  </w:style>
  <w:style w:type="paragraph" w:styleId="Body">
    <w:name w:val="Body"/>
    <w:basedOn w:val="Normal"/>
    <w:qFormat/>
    <w:pPr>
      <w:spacing w:before="0" w:after="240"/>
      <w:ind w:firstLine="720" w:start="0" w:end="0"/>
    </w:pPr>
    <w:rPr/>
  </w:style>
  <w:style w:type="paragraph" w:styleId="IndentOneHalf">
    <w:name w:val="IndentOneHalf"/>
    <w:basedOn w:val="Body"/>
    <w:qFormat/>
    <w:pPr>
      <w:ind w:firstLine="720" w:start="720" w:end="0"/>
    </w:pPr>
    <w:rPr/>
  </w:style>
  <w:style w:type="paragraph" w:styleId="IndentOneInch">
    <w:name w:val="IndentOneInch"/>
    <w:basedOn w:val="Body"/>
    <w:qFormat/>
    <w:pPr>
      <w:ind w:firstLine="720" w:start="1440" w:end="0"/>
    </w:pPr>
    <w:rPr/>
  </w:style>
  <w:style w:type="paragraph" w:styleId="IndentTwoInches">
    <w:name w:val="IndentTwoInches"/>
    <w:basedOn w:val="Body"/>
    <w:qFormat/>
    <w:pPr>
      <w:ind w:firstLine="720" w:start="2880" w:end="0"/>
    </w:pPr>
    <w:rPr/>
  </w:style>
  <w:style w:type="paragraph" w:styleId="TOC1">
    <w:name w:val="toc 1"/>
    <w:basedOn w:val="Normal"/>
    <w:next w:val="Normal"/>
    <w:pPr>
      <w:tabs>
        <w:tab w:val="left" w:pos="720" w:leader="none"/>
        <w:tab w:val="right" w:pos="9360" w:leader="dot"/>
      </w:tabs>
      <w:spacing w:before="240" w:after="0"/>
      <w:ind w:hanging="720" w:start="720" w:end="1440"/>
    </w:pPr>
    <w:rPr/>
  </w:style>
  <w:style w:type="paragraph" w:styleId="TOC2">
    <w:name w:val="toc 2"/>
    <w:basedOn w:val="Normal"/>
    <w:next w:val="Normal"/>
    <w:pPr>
      <w:tabs>
        <w:tab w:val="clear" w:pos="720"/>
        <w:tab w:val="left" w:pos="1440" w:leader="none"/>
        <w:tab w:val="right" w:pos="9360" w:leader="dot"/>
      </w:tabs>
      <w:spacing w:before="240" w:after="0"/>
      <w:ind w:hanging="720" w:start="1440" w:end="1440"/>
    </w:pPr>
    <w:rPr/>
  </w:style>
  <w:style w:type="paragraph" w:styleId="TOC3">
    <w:name w:val="toc 3"/>
    <w:basedOn w:val="Normal"/>
    <w:next w:val="Normal"/>
    <w:pPr>
      <w:tabs>
        <w:tab w:val="clear" w:pos="720"/>
        <w:tab w:val="left" w:pos="2160" w:leader="none"/>
        <w:tab w:val="right" w:pos="9360" w:leader="dot"/>
      </w:tabs>
      <w:spacing w:before="240" w:after="0"/>
      <w:ind w:hanging="720" w:start="2160" w:end="1440"/>
    </w:pPr>
    <w:rPr/>
  </w:style>
  <w:style w:type="paragraph" w:styleId="TOC4">
    <w:name w:val="toc 4"/>
    <w:basedOn w:val="Normal"/>
    <w:next w:val="Normal"/>
    <w:pPr>
      <w:tabs>
        <w:tab w:val="clear" w:pos="720"/>
        <w:tab w:val="left" w:pos="2880" w:leader="none"/>
        <w:tab w:val="right" w:pos="9360" w:leader="dot"/>
      </w:tabs>
      <w:spacing w:before="240" w:after="0"/>
      <w:ind w:hanging="720" w:start="2880" w:end="1440"/>
    </w:pPr>
    <w:rPr/>
  </w:style>
  <w:style w:type="paragraph" w:styleId="TOC5">
    <w:name w:val="toc 5"/>
    <w:basedOn w:val="Normal"/>
    <w:next w:val="Normal"/>
    <w:pPr>
      <w:tabs>
        <w:tab w:val="clear" w:pos="720"/>
        <w:tab w:val="left" w:pos="3600" w:leader="none"/>
        <w:tab w:val="right" w:pos="9360" w:leader="dot"/>
      </w:tabs>
      <w:spacing w:before="240" w:after="0"/>
      <w:ind w:hanging="720" w:start="3600" w:end="1440"/>
    </w:pPr>
    <w:rPr/>
  </w:style>
  <w:style w:type="paragraph" w:styleId="TOC6">
    <w:name w:val="toc 6"/>
    <w:basedOn w:val="Normal"/>
    <w:next w:val="Normal"/>
    <w:pPr>
      <w:tabs>
        <w:tab w:val="clear" w:pos="720"/>
        <w:tab w:val="left" w:pos="4320" w:leader="none"/>
        <w:tab w:val="right" w:pos="9360" w:leader="dot"/>
      </w:tabs>
      <w:spacing w:before="240" w:after="0"/>
      <w:ind w:hanging="720" w:start="4320" w:end="1440"/>
    </w:pPr>
    <w:rPr/>
  </w:style>
  <w:style w:type="paragraph" w:styleId="TOC7">
    <w:name w:val="toc 7"/>
    <w:basedOn w:val="Normal"/>
    <w:next w:val="Normal"/>
    <w:pPr>
      <w:tabs>
        <w:tab w:val="clear" w:pos="720"/>
        <w:tab w:val="left" w:pos="5040" w:leader="none"/>
        <w:tab w:val="right" w:pos="9360" w:leader="dot"/>
      </w:tabs>
      <w:spacing w:before="240" w:after="0"/>
      <w:ind w:hanging="720" w:start="5040" w:end="1440"/>
    </w:pPr>
    <w:rPr/>
  </w:style>
  <w:style w:type="paragraph" w:styleId="TOC8">
    <w:name w:val="toc 8"/>
    <w:basedOn w:val="Normal"/>
    <w:next w:val="Normal"/>
    <w:pPr>
      <w:tabs>
        <w:tab w:val="clear" w:pos="720"/>
        <w:tab w:val="left" w:pos="5760" w:leader="none"/>
        <w:tab w:val="right" w:pos="9360" w:leader="dot"/>
      </w:tabs>
      <w:spacing w:before="240" w:after="0"/>
      <w:ind w:hanging="720" w:start="5760" w:end="1440"/>
    </w:pPr>
    <w:rPr/>
  </w:style>
  <w:style w:type="paragraph" w:styleId="TOC9">
    <w:name w:val="toc 9"/>
    <w:basedOn w:val="Normal"/>
    <w:next w:val="Normal"/>
    <w:pPr>
      <w:tabs>
        <w:tab w:val="clear" w:pos="720"/>
        <w:tab w:val="left" w:pos="6480" w:leader="none"/>
        <w:tab w:val="right" w:pos="9360" w:leader="dot"/>
      </w:tabs>
      <w:spacing w:before="240" w:after="0"/>
      <w:ind w:hanging="720" w:start="6480" w:end="1440"/>
    </w:pPr>
    <w:rPr/>
  </w:style>
  <w:style w:type="paragraph" w:styleId="BodyFlush">
    <w:name w:val="BodyFlush"/>
    <w:basedOn w:val="Normal"/>
    <w:qFormat/>
    <w:pPr>
      <w:spacing w:before="0" w:after="240"/>
    </w:pPr>
    <w:rPr/>
  </w:style>
  <w:style w:type="paragraph" w:styleId="WW-BodyText2">
    <w:name w:val="WW-Body Text 2"/>
    <w:basedOn w:val="Normal"/>
    <w:qFormat/>
    <w:pPr>
      <w:jc w:val="both"/>
    </w:pPr>
    <w:rPr/>
  </w:style>
  <w:style w:type="paragraph" w:styleId="Body1">
    <w:name w:val="Body1"/>
    <w:basedOn w:val="Normal"/>
    <w:qFormat/>
    <w:pPr>
      <w:spacing w:before="0" w:after="240"/>
      <w:ind w:firstLine="144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STANDARD.DOT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2001-11-20T12:53:00Z</dcterms:created>
  <dc:creator>Arter &amp; Hadden</dc:creator>
  <dc:description/>
  <dc:language>en-CA</dc:language>
  <cp:lastModifiedBy>Daniel W. Douglass</cp:lastModifiedBy>
  <cp:lastPrinted>2001-11-09T14:10:00Z</cp:lastPrinted>
  <dcterms:modified xsi:type="dcterms:W3CDTF">2001-11-20T12:53:00Z</dcterms:modified>
  <cp:revision>2</cp:revision>
  <dc:subject/>
  <dc:title>Edison Advice Letter Summary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 </vt:lpwstr>
  </property>
  <property fmtid="{D5CDD505-2E9C-101B-9397-08002B2CF9AE}" pid="3" name="DocNumber">
    <vt:lpwstr>1</vt:lpwstr>
  </property>
  <property fmtid="{D5CDD505-2E9C-101B-9397-08002B2CF9AE}" pid="4" name="DocVersion">
    <vt:lpwstr>1</vt:lpwstr>
  </property>
  <property fmtid="{D5CDD505-2E9C-101B-9397-08002B2CF9AE}" pid="5" name="Matter">
    <vt:lpwstr> </vt:lpwstr>
  </property>
</Properties>
</file>