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10890" w:leader="none"/>
        </w:tabs>
        <w:jc w:val="start"/>
        <w:rPr>
          <w:shadow/>
          <w:sz w:val="50"/>
          <w:lang w:val="en-CA" w:eastAsia="en-CA"/>
        </w:rPr>
      </w:pPr>
      <w:r>
        <w:rPr>
          <w:shadow/>
          <w:sz w:val="50"/>
          <w:lang w:val="en-CA" w:eastAsia="en-CA"/>
        </w:rPr>
        <w:drawing>
          <wp:anchor behindDoc="0" distT="0" distB="0" distL="114935" distR="114935" simplePos="0" locked="0" layoutInCell="1" allowOverlap="1" relativeHeight="2">
            <wp:simplePos x="0" y="0"/>
            <wp:positionH relativeFrom="column">
              <wp:posOffset>3200400</wp:posOffset>
            </wp:positionH>
            <wp:positionV relativeFrom="paragraph">
              <wp:posOffset>-610235</wp:posOffset>
            </wp:positionV>
            <wp:extent cx="2972435"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914400"/>
                    </a:xfrm>
                    <a:prstGeom prst="rect">
                      <a:avLst/>
                    </a:prstGeom>
                    <a:noFill/>
                  </pic:spPr>
                </pic:pic>
              </a:graphicData>
            </a:graphic>
          </wp:anchor>
        </w:drawing>
      </w:r>
    </w:p>
    <w:p>
      <w:pPr>
        <w:pStyle w:val="Heading"/>
        <w:rPr>
          <w:shadow/>
          <w:sz w:val="50"/>
        </w:rPr>
      </w:pPr>
      <w:r>
        <w:rPr>
          <w:shadow/>
          <w:sz w:val="50"/>
        </w:rPr>
        <w:t>The Washington Summary</w:t>
      </w:r>
    </w:p>
    <w:p>
      <w:pPr>
        <w:pStyle w:val="Heading"/>
        <w:ind w:start="0" w:end="-1170"/>
        <w:jc w:val="start"/>
        <w:rPr>
          <w:rFonts w:ascii="Times New Roman" w:hAnsi="Times New Roman" w:cs="Times New Roman"/>
          <w:b w:val="false"/>
          <w:shadow/>
          <w:sz w:val="20"/>
          <w:u w:val="none"/>
        </w:rPr>
      </w:pPr>
      <w:r>
        <w:rPr>
          <w:rFonts w:cs="Times New Roman" w:ascii="Times New Roman" w:hAnsi="Times New Roman"/>
          <w:b w:val="false"/>
          <w:shadow/>
          <w:sz w:val="20"/>
          <w:u w:val="none"/>
        </w:rPr>
      </w:r>
    </w:p>
    <w:p>
      <w:pPr>
        <w:pStyle w:val="BodyTextIndent"/>
        <w:ind w:start="0" w:end="0"/>
        <w:rPr/>
      </w:pPr>
      <w:r>
        <w:rPr/>
        <w:t xml:space="preserve">As clear as mud.  One Congressman tried to attach the House Energy package to the Defense Appropriations Bill.  A prominent Senate Republican threatened to filibuster any bill until energy is addressed.  There’s been a lot of high level political drama, but it’s hard to find the activity by the staff and in the backrooms that will be necessary to turn political interest into real legislative accomplishment.      </w:t>
      </w:r>
    </w:p>
    <w:p>
      <w:pPr>
        <w:pStyle w:val="BodyTextIndent"/>
        <w:ind w:start="0" w:end="0"/>
        <w:rPr>
          <w:sz w:val="16"/>
        </w:rPr>
      </w:pPr>
      <w:r>
        <w:rPr>
          <w:sz w:val="16"/>
        </w:rPr>
      </w:r>
    </w:p>
    <w:p>
      <w:pPr>
        <w:pStyle w:val="BodyTextIndent"/>
        <w:ind w:start="0" w:end="0"/>
        <w:rPr/>
      </w:pPr>
      <w:r>
        <w:rPr/>
        <w:tab/>
      </w:r>
      <w:r>
        <w:rPr>
          <w:b/>
        </w:rPr>
        <w:t>--There will be no Washington Summary next week. Have a wonderful Thanksgiving.--</w:t>
      </w:r>
    </w:p>
    <w:p>
      <w:pPr>
        <w:pStyle w:val="BodyTextIndent"/>
        <w:ind w:start="0" w:end="0"/>
        <w:rPr>
          <w:b/>
        </w:rPr>
      </w:pPr>
      <w:r>
        <w:rPr>
          <w:b/>
        </w:rPr>
      </w:r>
    </w:p>
    <w:p>
      <w:pPr>
        <w:sectPr>
          <w:headerReference w:type="default" r:id="rId3"/>
          <w:type w:val="nextPage"/>
          <w:pgSz w:w="12240" w:h="15840"/>
          <w:pgMar w:left="1152" w:right="180" w:gutter="0" w:header="720" w:top="864" w:footer="0" w:bottom="432"/>
          <w:pgNumType w:start="7" w:fmt="decimal"/>
          <w:formProt w:val="false"/>
          <w:textDirection w:val="lrTb"/>
          <w:docGrid w:type="default" w:linePitch="360" w:charSpace="0"/>
        </w:sectPr>
      </w:pPr>
    </w:p>
    <w:p>
      <w:pPr>
        <w:pStyle w:val="BodyText2"/>
        <w:rPr/>
      </w:pPr>
      <w:r>
        <w:rPr>
          <w:b/>
          <w:i/>
          <w:sz w:val="20"/>
        </w:rPr>
        <w:t>The House</w:t>
      </w:r>
      <w:r>
        <w:rPr>
          <w:sz w:val="20"/>
        </w:rPr>
        <w:t xml:space="preserve"> – Energy and Air Quality Subcommittee Chairman </w:t>
      </w:r>
      <w:r>
        <w:rPr>
          <w:b/>
          <w:sz w:val="20"/>
        </w:rPr>
        <w:t>Joe Barton</w:t>
      </w:r>
      <w:r>
        <w:rPr>
          <w:sz w:val="20"/>
        </w:rPr>
        <w:t xml:space="preserve"> (R-TX) shook up Washington with his declaration on Wednesday that a markup of electricity legislation would occur within two or three weeks.  While a number of Subcommittee members publicly gave the Chairman a big thumbs up on action, they privately express a lot of concerns and doubts.  If a markup occurs—which is far from guaranteed—it will not happen before early December, it will be over quickly, and it will leave many issues for the full Energy and Commerce Committee to resolve.  Barton would prefer to move the issue out of Subcommittee this year, to clear the decks for the Subcommittee to address new topics—such as clean air—when Congress returns in January. Subcommittee Democrats are asking Barton to slow down and hold additional oversight hearings on the FERC RTO initiatives instead of passing legislation.</w:t>
      </w:r>
    </w:p>
    <w:p>
      <w:pPr>
        <w:pStyle w:val="BodyText2"/>
        <w:rPr>
          <w:sz w:val="16"/>
          <w:szCs w:val="16"/>
        </w:rPr>
      </w:pPr>
      <w:r>
        <w:rPr>
          <w:sz w:val="16"/>
          <w:szCs w:val="16"/>
        </w:rPr>
      </w:r>
    </w:p>
    <w:p>
      <w:pPr>
        <w:pStyle w:val="BodyText2"/>
        <w:rPr>
          <w:sz w:val="20"/>
        </w:rPr>
      </w:pPr>
      <w:r>
        <w:rPr>
          <w:sz w:val="20"/>
        </w:rPr>
        <w:t xml:space="preserve">EPSA members will meet with Committee and Subcommittee staff on November 28 to discuss the latest draft and the possible markup.  An EPSA strategy session will be held in advance of the meeting on the 26. </w:t>
      </w:r>
    </w:p>
    <w:p>
      <w:pPr>
        <w:pStyle w:val="BodyText2"/>
        <w:rPr>
          <w:sz w:val="16"/>
          <w:szCs w:val="16"/>
        </w:rPr>
      </w:pPr>
      <w:r>
        <w:rPr>
          <w:sz w:val="16"/>
          <w:szCs w:val="16"/>
        </w:rPr>
      </w:r>
    </w:p>
    <w:p>
      <w:pPr>
        <w:pStyle w:val="BodyText2"/>
        <w:rPr/>
      </w:pPr>
      <w:r>
        <w:rPr>
          <w:sz w:val="20"/>
        </w:rPr>
        <w:t xml:space="preserve">Congressman </w:t>
      </w:r>
      <w:r>
        <w:rPr>
          <w:b/>
          <w:sz w:val="20"/>
        </w:rPr>
        <w:t>Ed Markey</w:t>
      </w:r>
      <w:r>
        <w:rPr>
          <w:sz w:val="20"/>
        </w:rPr>
        <w:t xml:space="preserve"> (D-MA) and 22 of his New England colleagues wrote FERC about the potential combination of the three northeast ISOs.  Rather than attack the consolidation effort, the letter only argues for equal board representation for the three existing groups.  Also, several members of the New York congressional delegation wrote Energy Secretary </w:t>
      </w:r>
      <w:r>
        <w:rPr>
          <w:b/>
          <w:sz w:val="20"/>
        </w:rPr>
        <w:t>Spencer Abraham</w:t>
      </w:r>
      <w:r>
        <w:rPr>
          <w:sz w:val="20"/>
        </w:rPr>
        <w:t xml:space="preserve"> on the same topic.  They, too, did not oppose consolidation and are concerned about board representation, but they also expressed doubts about the process and pace that FERC has established.  Believe it or not, these letters are progress.</w:t>
      </w:r>
    </w:p>
    <w:p>
      <w:pPr>
        <w:pStyle w:val="BodyText2"/>
        <w:rPr>
          <w:sz w:val="16"/>
          <w:szCs w:val="16"/>
        </w:rPr>
      </w:pPr>
      <w:r>
        <w:rPr>
          <w:sz w:val="16"/>
          <w:szCs w:val="16"/>
        </w:rPr>
      </w:r>
    </w:p>
    <w:p>
      <w:pPr>
        <w:pStyle w:val="Normal"/>
        <w:rPr/>
      </w:pPr>
      <w:r>
        <w:rPr>
          <w:b/>
          <w:i/>
          <w:sz w:val="20"/>
        </w:rPr>
        <w:t>The Senate</w:t>
      </w:r>
      <w:r>
        <w:rPr>
          <w:sz w:val="20"/>
        </w:rPr>
        <w:t xml:space="preserve"> – The Democratic energy package is slowly being assembled.  All the pages are there, but the support is not.  Significant differences of opinion exist within the Democratic caucus on CAFÉ, Price-Anderson renewal, ethanol and climate change.  This shouldn’t surprise many people, since energy issues often have a stronger regional than political context.  A final package of electricity provisions is apparently complete.  However, notwithstanding threats by </w:t>
      </w:r>
      <w:r>
        <w:rPr>
          <w:b/>
          <w:sz w:val="20"/>
        </w:rPr>
        <w:t>Frank Murkowski</w:t>
      </w:r>
      <w:r>
        <w:rPr>
          <w:sz w:val="20"/>
        </w:rPr>
        <w:t xml:space="preserve"> (R-AK) to filibuster legislation until the Senate takes up energy legislation, energy issues won’t be addressed by the Senate anytime soon.</w:t>
      </w:r>
    </w:p>
    <w:p>
      <w:pPr>
        <w:pStyle w:val="Normal"/>
        <w:rPr>
          <w:sz w:val="16"/>
          <w:szCs w:val="16"/>
        </w:rPr>
      </w:pPr>
      <w:r>
        <w:rPr>
          <w:sz w:val="16"/>
          <w:szCs w:val="16"/>
        </w:rPr>
      </w:r>
    </w:p>
    <w:p>
      <w:pPr>
        <w:pStyle w:val="Normal"/>
        <w:rPr>
          <w:sz w:val="20"/>
        </w:rPr>
      </w:pPr>
      <w:r>
        <w:rPr>
          <w:sz w:val="20"/>
        </w:rPr>
        <w:t>While the Senate has failed to take up the economic stimulus package, the real action is occurring in the backrooms, where negotiations between the Administration and Senate Democratic leaders are underway.  While some had predicted action this week on the stimulus package, the leadership doesn’t seem too enthusiastic about moving legislation without a broader political deal.</w:t>
      </w:r>
    </w:p>
    <w:p>
      <w:pPr>
        <w:pStyle w:val="Normal"/>
        <w:rPr>
          <w:sz w:val="16"/>
          <w:szCs w:val="16"/>
        </w:rPr>
      </w:pPr>
      <w:r>
        <w:rPr>
          <w:sz w:val="16"/>
          <w:szCs w:val="16"/>
        </w:rPr>
      </w:r>
    </w:p>
    <w:p>
      <w:pPr>
        <w:pStyle w:val="Normal"/>
        <w:rPr/>
      </w:pPr>
      <w:r>
        <w:rPr>
          <w:sz w:val="20"/>
        </w:rPr>
        <w:t>On November 15, the Senate Environment and Public Works Committee held a second hearing on multi-pollutant legislation.  Witnesses from industry (including EPSA member company PG&amp;E NEG) and environmental groups testified.  It did not come as a surprise to anyone when Chairman</w:t>
      </w:r>
      <w:r>
        <w:rPr>
          <w:b/>
          <w:sz w:val="20"/>
        </w:rPr>
        <w:t xml:space="preserve"> Jim Jeffords </w:t>
      </w:r>
      <w:r>
        <w:rPr>
          <w:sz w:val="20"/>
        </w:rPr>
        <w:t>(I-VT) indicated that further action on air legislation would not occur before February.</w:t>
      </w:r>
    </w:p>
    <w:p>
      <w:pPr>
        <w:pStyle w:val="Normal"/>
        <w:rPr>
          <w:b/>
          <w:sz w:val="16"/>
          <w:szCs w:val="16"/>
        </w:rPr>
      </w:pPr>
      <w:r>
        <w:rPr>
          <w:b/>
          <w:sz w:val="16"/>
          <w:szCs w:val="16"/>
        </w:rPr>
      </w:r>
    </w:p>
    <w:p>
      <w:pPr>
        <w:pStyle w:val="Normal"/>
        <w:rPr/>
      </w:pPr>
      <w:r>
        <w:rPr>
          <w:b/>
          <w:i/>
          <w:sz w:val="20"/>
        </w:rPr>
        <w:t>The Bush Administration</w:t>
      </w:r>
      <w:r>
        <w:rPr>
          <w:sz w:val="20"/>
        </w:rPr>
        <w:t xml:space="preserve"> –The Administration continues to beat the drum for an energy bill.  Vice President </w:t>
      </w:r>
      <w:r>
        <w:rPr>
          <w:b/>
          <w:sz w:val="20"/>
        </w:rPr>
        <w:t>Dick Cheney</w:t>
      </w:r>
      <w:r>
        <w:rPr>
          <w:sz w:val="20"/>
        </w:rPr>
        <w:t>, DOE Secretary Abraham and others are out in public and still list energy as a top priority for action this year.  That noted, it is hard to see much progress (or activity) in the political trenches where a deal needs to be cut in order for legislation to move forward.</w:t>
      </w:r>
    </w:p>
    <w:p>
      <w:pPr>
        <w:pStyle w:val="Normal"/>
        <w:rPr>
          <w:b/>
          <w:i/>
          <w:i/>
          <w:sz w:val="20"/>
        </w:rPr>
      </w:pPr>
      <w:r>
        <w:rPr>
          <w:b/>
          <w:i/>
          <w:sz w:val="20"/>
        </w:rPr>
      </w:r>
    </w:p>
    <w:p>
      <w:pPr>
        <w:pStyle w:val="BodyText2"/>
        <w:numPr>
          <w:ilvl w:val="0"/>
          <w:numId w:val="0"/>
        </w:numPr>
        <w:outlineLvl w:val="0"/>
        <w:rPr>
          <w:sz w:val="20"/>
        </w:rPr>
      </w:pPr>
      <w:r>
        <w:rPr>
          <w:b/>
          <w:i/>
          <w:sz w:val="20"/>
        </w:rPr>
        <w:t>KEY DATES</w:t>
      </w:r>
    </w:p>
    <w:p>
      <w:pPr>
        <w:pStyle w:val="BodyText2"/>
        <w:rPr>
          <w:sz w:val="16"/>
        </w:rPr>
      </w:pPr>
      <w:r>
        <w:rPr>
          <w:sz w:val="16"/>
        </w:rPr>
      </w:r>
    </w:p>
    <w:p>
      <w:pPr>
        <w:pStyle w:val="BodyText2"/>
        <w:rPr>
          <w:i/>
          <w:i/>
          <w:sz w:val="20"/>
        </w:rPr>
      </w:pPr>
      <w:r>
        <w:rPr>
          <w:b/>
          <w:sz w:val="20"/>
        </w:rPr>
        <w:t>Nov. 22</w:t>
      </w:r>
      <w:r>
        <w:rPr>
          <w:sz w:val="20"/>
        </w:rPr>
        <w:t xml:space="preserve"> – Thanksgiving Day</w:t>
      </w:r>
    </w:p>
    <w:p>
      <w:pPr>
        <w:pStyle w:val="BodyText3"/>
        <w:rPr/>
      </w:pPr>
      <w:r>
        <w:rPr>
          <w:b/>
        </w:rPr>
        <w:t>Nov. 26</w:t>
      </w:r>
      <w:r>
        <w:rPr/>
        <w:t xml:space="preserve"> – Legislative strategy session to prepare for November 28</w:t>
      </w:r>
      <w:r>
        <w:rPr>
          <w:vertAlign w:val="superscript"/>
        </w:rPr>
        <w:t xml:space="preserve"> </w:t>
      </w:r>
      <w:r>
        <w:rPr/>
        <w:t>meeting with Barton staff</w:t>
      </w:r>
    </w:p>
    <w:p>
      <w:pPr>
        <w:pStyle w:val="BodyText3"/>
        <w:rPr>
          <w:b/>
        </w:rPr>
      </w:pPr>
      <w:r>
        <w:rPr>
          <w:b/>
        </w:rPr>
        <w:t>Nov. 28</w:t>
      </w:r>
      <w:r>
        <w:rPr/>
        <w:t xml:space="preserve"> – Legislative Committee meeting with Energy and Commerce Committee staff on electricity title</w:t>
      </w:r>
    </w:p>
    <w:p>
      <w:pPr>
        <w:pStyle w:val="BodyText3"/>
        <w:rPr/>
      </w:pPr>
      <w:r>
        <w:rPr>
          <w:b/>
        </w:rPr>
        <w:t>Nov. 29</w:t>
      </w:r>
      <w:r>
        <w:rPr/>
        <w:t xml:space="preserve"> – Legislative Affairs Committee Meeting/Conference Call</w:t>
      </w:r>
    </w:p>
    <w:p>
      <w:pPr>
        <w:pStyle w:val="BodyText3"/>
        <w:rPr/>
      </w:pPr>
      <w:r>
        <w:rPr>
          <w:b/>
        </w:rPr>
        <w:t>Nov. 29</w:t>
      </w:r>
      <w:r>
        <w:rPr/>
        <w:t xml:space="preserve"> – EPSA-PAC event for </w:t>
      </w:r>
      <w:r>
        <w:rPr>
          <w:b/>
        </w:rPr>
        <w:t>Gene Green</w:t>
      </w:r>
      <w:r>
        <w:rPr/>
        <w:t xml:space="preserve"> (D-TX)</w:t>
      </w:r>
    </w:p>
    <w:p>
      <w:pPr>
        <w:pStyle w:val="BodyText3"/>
        <w:rPr/>
      </w:pPr>
      <w:r>
        <w:rPr>
          <w:b/>
        </w:rPr>
        <w:t>Dec. 11</w:t>
      </w:r>
      <w:r>
        <w:rPr/>
        <w:t xml:space="preserve"> – EPSA Legislative Affairs Meeting to discuss 2002 Committee agenda/action plan</w:t>
      </w:r>
    </w:p>
    <w:p>
      <w:pPr>
        <w:pStyle w:val="BodyText3"/>
        <w:rPr>
          <w:b/>
          <w:sz w:val="16"/>
          <w:szCs w:val="16"/>
        </w:rPr>
      </w:pPr>
      <w:r>
        <w:rPr>
          <w:b/>
          <w:sz w:val="16"/>
          <w:szCs w:val="16"/>
        </w:rPr>
      </w:r>
    </w:p>
    <w:p>
      <w:pPr>
        <w:pStyle w:val="BodyText"/>
        <w:rPr>
          <w:b/>
          <w:sz w:val="20"/>
        </w:rPr>
      </w:pPr>
      <w:r>
        <w:rPr>
          <w:b/>
          <w:sz w:val="20"/>
        </w:rPr>
        <w:t>To access all Legislative Affairs Committee, Tax Policy Working Group and Accounting Working Group Conference Calls, dial 1-800-937-6563 and ask for the EPSA call moderated by Gene Peters.</w:t>
      </w:r>
    </w:p>
    <w:sectPr>
      <w:type w:val="continuous"/>
      <w:pgSz w:w="12240" w:h="15840"/>
      <w:pgMar w:left="1152" w:right="1152" w:gutter="0" w:header="720" w:top="864" w:footer="0" w:bottom="43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1"/>
      </w:rPr>
    </w:pPr>
    <w:r>
      <w:rPr>
        <w:sz w:val="21"/>
      </w:rPr>
      <w:t>Friday, November 16,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Helvetica" w:hAnsi="Helvetica" w:cs="Helvetica"/>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900" w:end="-1170"/>
      <w:jc w:val="center"/>
    </w:pPr>
    <w:rPr>
      <w:b/>
      <w:sz w:val="56"/>
      <w:u w:val="single"/>
    </w:rPr>
  </w:style>
  <w:style w:type="paragraph" w:styleId="BodyText">
    <w:name w:val="Body Text"/>
    <w:basedOn w:val="Normal"/>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BodyTextIndent">
    <w:name w:val="Body Text Indent"/>
    <w:basedOn w:val="Normal"/>
    <w:pPr>
      <w:ind w:hanging="0" w:start="405" w:end="0"/>
    </w:pPr>
    <w:rPr>
      <w:sz w:val="20"/>
    </w:rPr>
  </w:style>
  <w:style w:type="paragraph" w:styleId="BodyText3">
    <w:name w:val="Body Text 3"/>
    <w:basedOn w:val="Normal"/>
    <w:qFormat/>
    <w:pPr/>
    <w:rPr>
      <w:sz w:val="2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2001-11-16T17:56:00Z</dcterms:created>
  <dc:creator>EPSA Staff</dc:creator>
  <dc:description/>
  <dc:language>en-CA</dc:language>
  <cp:lastModifiedBy>Andrea Leigh Spring</cp:lastModifiedBy>
  <cp:lastPrinted>2001-11-16T15:26:00Z</cp:lastPrinted>
  <dcterms:modified xsi:type="dcterms:W3CDTF">2001-11-16T17:58:00Z</dcterms:modified>
  <cp:revision>3</cp:revision>
  <dc:subject/>
  <dc:title>The Washington Perspective </dc:title>
</cp:coreProperties>
</file>