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u w:val="single"/>
        </w:rPr>
      </w:pPr>
      <w:r>
        <w:rPr>
          <w:b/>
          <w:bCs/>
          <w:u w:val="single"/>
        </w:rPr>
        <w:t>Edison Advice Letter Summary</w:t>
      </w:r>
    </w:p>
    <w:p>
      <w:pPr>
        <w:pStyle w:val="Body"/>
        <w:widowControl/>
        <w:spacing w:before="0" w:after="0"/>
        <w:ind w:hanging="0" w:end="0"/>
        <w:jc w:val="center"/>
        <w:rPr>
          <w:b/>
          <w:bCs/>
          <w:u w:val="single"/>
        </w:rPr>
      </w:pPr>
      <w:r>
        <w:rPr>
          <w:b/>
          <w:bCs/>
          <w:u w:val="single"/>
        </w:rPr>
        <w:t>November 16, 2000</w:t>
      </w:r>
    </w:p>
    <w:p>
      <w:pPr>
        <w:pStyle w:val="Body"/>
        <w:widowControl/>
        <w:spacing w:before="0" w:after="0"/>
        <w:ind w:hanging="0" w:end="0"/>
        <w:jc w:val="center"/>
        <w:rPr>
          <w:b/>
          <w:bCs/>
          <w:u w:val="single"/>
        </w:rPr>
      </w:pPr>
      <w:r>
        <w:rPr>
          <w:b/>
          <w:bCs/>
          <w:u w:val="single"/>
        </w:rPr>
      </w:r>
    </w:p>
    <w:tbl>
      <w:tblPr>
        <w:tblW w:w="15336" w:type="dxa"/>
        <w:jc w:val="start"/>
        <w:tblInd w:w="0" w:type="dxa"/>
        <w:tblLayout w:type="fixed"/>
        <w:tblCellMar>
          <w:top w:w="0" w:type="dxa"/>
          <w:start w:w="108" w:type="dxa"/>
          <w:bottom w:w="0" w:type="dxa"/>
          <w:end w:w="108" w:type="dxa"/>
        </w:tblCellMar>
      </w:tblPr>
      <w:tblGrid>
        <w:gridCol w:w="1368"/>
        <w:gridCol w:w="1490"/>
        <w:gridCol w:w="1565"/>
        <w:gridCol w:w="1684"/>
        <w:gridCol w:w="3469"/>
        <w:gridCol w:w="1440"/>
        <w:gridCol w:w="1440"/>
        <w:gridCol w:w="1440"/>
        <w:gridCol w:w="1440"/>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Recommendation</w:t>
            </w:r>
          </w:p>
        </w:tc>
        <w:tc>
          <w:tcPr>
            <w:tcW w:w="5760"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1496-E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11/13/00</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12/3/00</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Should Be Reviewed</w:t>
            </w:r>
          </w:p>
        </w:tc>
        <w:tc>
          <w:tcPr>
            <w:tcW w:w="5760" w:type="dxa"/>
            <w:gridSpan w:val="4"/>
            <w:tcBorders/>
            <w:tcMar>
              <w:start w:w="0" w:type="dxa"/>
              <w:end w:w="0" w:type="dxa"/>
            </w:tcMar>
          </w:tcPr>
          <w:p>
            <w:pPr>
              <w:pStyle w:val="Normal"/>
              <w:snapToGrid w:val="false"/>
              <w:rPr>
                <w:b/>
                <w:bCs/>
              </w:rPr>
            </w:pPr>
            <w:r>
              <w:rPr>
                <w:b/>
                <w:bCs/>
              </w:rPr>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start="360" w:end="0"/>
              <w:rPr>
                <w:b/>
                <w:bCs/>
              </w:rPr>
            </w:pPr>
            <w:r>
              <w:rPr>
                <w:b/>
                <w:bCs/>
              </w:rPr>
              <w:t xml:space="preserve">Analysis:  </w:t>
            </w:r>
          </w:p>
          <w:p>
            <w:pPr>
              <w:pStyle w:val="Normal"/>
              <w:ind w:start="360" w:end="360"/>
              <w:jc w:val="both"/>
              <w:rPr/>
            </w:pPr>
            <w:r>
              <w:rPr/>
              <w:t>This advice filing requests cost recovery associated with SCE’s purchase of 7 by 24 and Off-Peak products through the Block-Forward Market (BFM). In addition, SCE requests  authorization to include the costs associated with other BFM products that the PX may offer that have different delivery period or delivery locations. SCE requests approval for BFM products as described below.</w:t>
            </w:r>
          </w:p>
          <w:p>
            <w:pPr>
              <w:pStyle w:val="Normal"/>
              <w:ind w:start="360" w:end="360"/>
              <w:jc w:val="both"/>
              <w:rPr/>
            </w:pPr>
            <w:r>
              <w:rPr/>
            </w:r>
          </w:p>
          <w:p>
            <w:pPr>
              <w:pStyle w:val="Normal"/>
              <w:ind w:start="360" w:end="360"/>
              <w:jc w:val="both"/>
              <w:rPr/>
            </w:pPr>
            <w:r>
              <w:rPr/>
              <w:t>In Resolution E-3618, the Commission authorized SCE to purchase the BFM product that the FERC authorized in the FERC’s May 26 order, but stated, “Should the Power Exchange introduce additional forward market products, SCE and PG&amp;E may at that time request Commission authorization for cost recovery.” The PX has offered an enhancements to the existing BFM which consists of service: a) covering hours from 12 a.m. midnight. to 12 a.m. midnight the following day, Sunday through Saturday for an entire month (7 by 24 product); and b) service covering the hours 12 a.m. midnight to 6 a.m. the next day and 10 p.m. to 12 midnight Monday through Saturday, and covering and all day Sunday and holidays (Off-peak Product).</w:t>
            </w:r>
          </w:p>
          <w:p>
            <w:pPr>
              <w:pStyle w:val="Normal"/>
              <w:rPr/>
            </w:pPr>
            <w:r>
              <w:rPr/>
            </w:r>
          </w:p>
          <w:p>
            <w:pPr>
              <w:pStyle w:val="Body"/>
              <w:widowControl/>
              <w:spacing w:before="0" w:after="0"/>
              <w:ind w:hanging="0" w:start="360" w:end="360"/>
              <w:jc w:val="both"/>
              <w:rPr/>
            </w:pPr>
            <w:r>
              <w:rPr/>
              <w:t xml:space="preserve">SCE requests approval for cost recovery of these BFM products, including any changes to the delivery periods and delivery locations of BFM products. </w:t>
            </w:r>
          </w:p>
          <w:p>
            <w:pPr>
              <w:pStyle w:val="Body"/>
              <w:widowControl/>
              <w:spacing w:before="0" w:after="0"/>
              <w:ind w:hanging="0" w:start="360" w:end="360"/>
              <w:jc w:val="both"/>
              <w:rPr/>
            </w:pPr>
            <w:r>
              <w:rPr/>
            </w:r>
          </w:p>
          <w:p>
            <w:pPr>
              <w:pStyle w:val="Body"/>
              <w:widowControl/>
              <w:spacing w:before="0" w:after="0"/>
              <w:ind w:hanging="0" w:start="360" w:end="360"/>
              <w:jc w:val="both"/>
              <w:rPr/>
            </w:pPr>
            <w:r>
              <w:rPr/>
              <w:t>SCE says that, “Inclusion of the costs associated with these additional products does not change the methodology adopted by the Commission for the development of the hourly PX cost or the Averaged PX Energy Charge, and will require no change to SCE’s tariff, but rather allows SCE the flexibility that FERC, to allow sellers and buyers in the BFM to change different delivery periods and locations without making a new regulatory filing.”</w:t>
            </w:r>
          </w:p>
        </w:tc>
        <w:tc>
          <w:tcPr>
            <w:tcW w:w="1440" w:type="dxa"/>
            <w:tcBorders>
              <w:top w:val="dashed" w:sz="6" w:space="0" w:color="auto"/>
              <w:start w:val="single" w:sz="6" w:space="0" w:color="000000"/>
              <w:bottom w:val="dashed" w:sz="6" w:space="0" w:color="auto"/>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bl>
    <w:p>
      <w:pPr>
        <w:pStyle w:val="Body"/>
        <w:widowControl/>
        <w:spacing w:before="0" w:after="0"/>
        <w:ind w:hanging="0" w:end="0"/>
        <w:jc w:val="center"/>
        <w:rPr>
          <w:b/>
          <w:bCs/>
          <w:u w:val="single"/>
        </w:rPr>
      </w:pPr>
      <w:r>
        <w:rPr>
          <w:b/>
          <w:bCs/>
          <w:u w:val="single"/>
        </w:rPr>
      </w:r>
    </w:p>
    <w:p>
      <w:pPr>
        <w:pStyle w:val="Body"/>
        <w:widowControl/>
        <w:spacing w:before="0" w:after="0"/>
        <w:ind w:hanging="0" w:end="0"/>
        <w:jc w:val="center"/>
        <w:rPr>
          <w:b/>
          <w:bCs/>
          <w:u w:val="single"/>
        </w:rPr>
      </w:pPr>
      <w:r>
        <w:rPr>
          <w:b/>
          <w:bCs/>
          <w:u w:val="single"/>
        </w:rPr>
      </w:r>
    </w:p>
    <w:p>
      <w:pPr>
        <w:pStyle w:val="Body"/>
        <w:widowControl/>
        <w:spacing w:before="0" w:after="0"/>
        <w:ind w:hanging="0" w:end="0"/>
        <w:jc w:val="both"/>
        <w:rPr>
          <w:b/>
          <w:bCs/>
          <w:u w:val="single"/>
        </w:rPr>
      </w:pPr>
      <w:r>
        <w:rPr>
          <w:b/>
          <w:bCs/>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Edison Advice Letter Summary</w:t>
    </w:r>
  </w:p>
  <w:p>
    <w:pPr>
      <w:pStyle w:val="Header"/>
      <w:widowControl/>
      <w:rPr/>
    </w:pPr>
    <w:r>
      <w:rPr/>
      <w:t>August 30, 2000</w:t>
    </w:r>
  </w:p>
  <w:p>
    <w:pPr>
      <w:pStyle w:val="Header"/>
      <w:widowControl/>
      <w:rPr>
        <w:rStyle w:val="PageNumber"/>
        <w:sz w:val="24"/>
        <w:szCs w:val="24"/>
      </w:rPr>
    </w:pPr>
    <w:r>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p>
  <w:p>
    <w:pPr>
      <w:pStyle w:val="Header"/>
      <w:widowControl/>
      <w:rPr>
        <w:rStyle w:val="PageNumber"/>
        <w:sz w:val="24"/>
        <w:szCs w:val="24"/>
      </w:rPr>
    </w:pPr>
    <w:r>
      <w:rPr/>
    </w:r>
  </w:p>
  <w:p>
    <w:pPr>
      <w:pStyle w:val="Header"/>
      <w:widowControl/>
      <w:rPr>
        <w:rStyle w:val="PageNumber"/>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Level1">
    <w:name w:val="Level 1"/>
    <w:basedOn w:val="Normal"/>
    <w:next w:val="Normal"/>
    <w:qFormat/>
    <w:pPr>
      <w:suppressAutoHyphens w:val="true"/>
      <w:spacing w:lineRule="exact" w:line="200" w:before="0" w:after="200"/>
      <w:ind w:hanging="432" w:start="864" w:end="0"/>
    </w:pPr>
    <w:rPr>
      <w:rFonts w:ascii="Arial" w:hAnsi="Arial" w:eastAsia="Arial" w:cs="Arial"/>
      <w:sz w:val="18"/>
      <w:szCs w:val="18"/>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2000-11-16T15:34:00Z</dcterms:created>
  <dc:creator>Arter &amp; Hadden</dc:creator>
  <dc:description/>
  <dc:language>en-CA</dc:language>
  <cp:lastModifiedBy>Arter &amp; Hadden</cp:lastModifiedBy>
  <cp:lastPrinted>2000-11-16T10:04:00Z</cp:lastPrinted>
  <dcterms:modified xsi:type="dcterms:W3CDTF">2000-11-16T15:34:00Z</dcterms:modified>
  <cp:revision>2</cp:revision>
  <dc:subject/>
  <dc:title>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