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Cs w:val="24"/>
          <w:lang w:val="en-CA" w:eastAsia="en-CA"/>
        </w:rPr>
      </w:pPr>
      <w:r>
        <w:rPr>
          <w:rFonts w:cs="Times New Roman" w:ascii="Times New Roman" w:hAnsi="Times New Roman"/>
          <w:b/>
          <w:bCs/>
          <w:szCs w:val="24"/>
        </w:rPr>
        <mc:AlternateContent>
          <mc:Choice Requires="wps">
            <w:drawing>
              <wp:anchor behindDoc="0" distT="0" distB="0" distL="114935" distR="114935" simplePos="0" locked="0" layoutInCell="1" allowOverlap="1" relativeHeight="15">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bCs/>
          <w:szCs w:val="24"/>
        </w:rPr>
        <w:t>UNITED STATES OF AMERICA</w:t>
      </w:r>
    </w:p>
    <w:p>
      <w:pPr>
        <w:pStyle w:val="Center"/>
        <w:spacing w:before="0" w:after="0"/>
        <w:rPr>
          <w:rFonts w:ascii="Times New Roman" w:hAnsi="Times New Roman" w:cs="Times New Roman"/>
          <w:b/>
          <w:bCs/>
          <w:szCs w:val="24"/>
        </w:rPr>
      </w:pPr>
      <w:r>
        <w:rPr>
          <w:rFonts w:cs="Times New Roman" w:ascii="Times New Roman" w:hAnsi="Times New Roman"/>
          <w:b/>
          <w:bCs/>
          <w:szCs w:val="24"/>
        </w:rPr>
        <w:t>BEFORE THE</w:t>
      </w:r>
    </w:p>
    <w:p>
      <w:pPr>
        <w:pStyle w:val="Normal"/>
        <w:jc w:val="center"/>
        <w:rPr>
          <w:rFonts w:ascii="Times New Roman" w:hAnsi="Times New Roman" w:cs="Times New Roman"/>
          <w:szCs w:val="24"/>
        </w:rPr>
      </w:pPr>
      <w:r>
        <w:rPr>
          <w:rFonts w:cs="Times New Roman" w:ascii="Times New Roman" w:hAnsi="Times New Roman"/>
          <w:b/>
          <w:bCs/>
          <w:szCs w:val="24"/>
        </w:rPr>
        <w:t>FEDERAL ENERGY REGULATORY COMMISSION</w:t>
      </w:r>
    </w:p>
    <w:p>
      <w:pPr>
        <w:pStyle w:val="Normal"/>
        <w:rPr>
          <w:rFonts w:ascii="Times New Roman" w:hAnsi="Times New Roman" w:cs="Times New Roman"/>
          <w:szCs w:val="24"/>
        </w:rPr>
      </w:pPr>
      <w:r>
        <w:rPr>
          <w:rFonts w:cs="Times New Roman" w:ascii="Times New Roman" w:hAnsi="Times New Roman"/>
          <w:szCs w:val="24"/>
        </w:rPr>
        <w:t xml:space="preserve"> </w:t>
      </w:r>
    </w:p>
    <w:tbl>
      <w:tblPr>
        <w:tblW w:w="9576" w:type="dxa"/>
        <w:jc w:val="start"/>
        <w:tblInd w:w="0" w:type="dxa"/>
        <w:tblLayout w:type="fixed"/>
        <w:tblCellMar>
          <w:top w:w="0" w:type="dxa"/>
          <w:start w:w="108" w:type="dxa"/>
          <w:bottom w:w="0" w:type="dxa"/>
          <w:end w:w="108" w:type="dxa"/>
        </w:tblCellMar>
      </w:tblPr>
      <w:tblGrid>
        <w:gridCol w:w="5058"/>
        <w:gridCol w:w="720"/>
        <w:gridCol w:w="3798"/>
      </w:tblGrid>
      <w:tr>
        <w:trPr/>
        <w:tc>
          <w:tcPr>
            <w:tcW w:w="5058" w:type="dxa"/>
            <w:tcBorders>
              <w:top w:val="single" w:sz="4" w:space="0" w:color="000000"/>
            </w:tcBorders>
          </w:tcPr>
          <w:p>
            <w:pPr>
              <w:pStyle w:val="Normal"/>
              <w:snapToGrid w:val="false"/>
              <w:rPr>
                <w:rFonts w:ascii="Times New Roman" w:hAnsi="Times New Roman" w:cs="Times New Roman"/>
                <w:szCs w:val="24"/>
              </w:rPr>
            </w:pPr>
            <w:r>
              <w:rPr>
                <w:rFonts w:cs="Times New Roman" w:ascii="Times New Roman" w:hAnsi="Times New Roman"/>
                <w:szCs w:val="24"/>
              </w:rPr>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snapToGrid w:val="false"/>
              <w:rPr>
                <w:rFonts w:ascii="Times New Roman" w:hAnsi="Times New Roman" w:cs="Times New Roman"/>
                <w:szCs w:val="24"/>
              </w:rPr>
            </w:pPr>
            <w:r>
              <w:rPr>
                <w:rFonts w:cs="Times New Roman" w:ascii="Times New Roman" w:hAnsi="Times New Roman"/>
                <w:szCs w:val="24"/>
              </w:rPr>
            </w:r>
          </w:p>
        </w:tc>
      </w:tr>
      <w:tr>
        <w:trPr/>
        <w:tc>
          <w:tcPr>
            <w:tcW w:w="5058" w:type="dxa"/>
            <w:tcBorders/>
          </w:tcPr>
          <w:p>
            <w:pPr>
              <w:pStyle w:val="Normal"/>
              <w:rPr>
                <w:rFonts w:ascii="Times New Roman" w:hAnsi="Times New Roman" w:cs="Times New Roman"/>
                <w:szCs w:val="24"/>
              </w:rPr>
            </w:pPr>
            <w:r>
              <w:rPr>
                <w:rFonts w:cs="Times New Roman" w:ascii="Times New Roman" w:hAnsi="Times New Roman"/>
                <w:szCs w:val="24"/>
              </w:rPr>
              <w:t>Arizona Public Service Company</w:t>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snapToGrid w:val="false"/>
              <w:rPr>
                <w:rFonts w:ascii="Times New Roman" w:hAnsi="Times New Roman" w:cs="Times New Roman"/>
                <w:szCs w:val="24"/>
              </w:rPr>
            </w:pPr>
            <w:r>
              <w:rPr>
                <w:rFonts w:cs="Times New Roman" w:ascii="Times New Roman" w:hAnsi="Times New Roman"/>
                <w:szCs w:val="24"/>
              </w:rPr>
            </w:r>
          </w:p>
        </w:tc>
      </w:tr>
      <w:tr>
        <w:trPr>
          <w:trHeight w:val="252" w:hRule="atLeast"/>
        </w:trPr>
        <w:tc>
          <w:tcPr>
            <w:tcW w:w="5058" w:type="dxa"/>
            <w:tcBorders/>
          </w:tcPr>
          <w:p>
            <w:pPr>
              <w:pStyle w:val="Normal"/>
              <w:rPr>
                <w:rFonts w:ascii="Times New Roman" w:hAnsi="Times New Roman" w:cs="Times New Roman"/>
                <w:szCs w:val="24"/>
              </w:rPr>
            </w:pPr>
            <w:r>
              <w:rPr>
                <w:rFonts w:cs="Times New Roman" w:ascii="Times New Roman" w:hAnsi="Times New Roman"/>
                <w:szCs w:val="24"/>
              </w:rPr>
              <w:t>El Paso Electric Company</w:t>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rPr>
                <w:rFonts w:ascii="Times New Roman" w:hAnsi="Times New Roman" w:cs="Times New Roman"/>
                <w:szCs w:val="24"/>
              </w:rPr>
            </w:pPr>
            <w:r>
              <w:rPr>
                <w:rFonts w:cs="Times New Roman" w:ascii="Times New Roman" w:hAnsi="Times New Roman"/>
                <w:szCs w:val="24"/>
              </w:rPr>
              <w:t>Docket No. EL02-9-000</w:t>
            </w:r>
          </w:p>
        </w:tc>
      </w:tr>
      <w:tr>
        <w:trPr>
          <w:trHeight w:val="252" w:hRule="atLeast"/>
        </w:trPr>
        <w:tc>
          <w:tcPr>
            <w:tcW w:w="5058" w:type="dxa"/>
            <w:tcBorders/>
          </w:tcPr>
          <w:p>
            <w:pPr>
              <w:pStyle w:val="Normal"/>
              <w:rPr>
                <w:rFonts w:ascii="Times New Roman" w:hAnsi="Times New Roman" w:cs="Times New Roman"/>
                <w:szCs w:val="24"/>
              </w:rPr>
            </w:pPr>
            <w:r>
              <w:rPr>
                <w:rFonts w:cs="Times New Roman" w:ascii="Times New Roman" w:hAnsi="Times New Roman"/>
                <w:szCs w:val="24"/>
              </w:rPr>
              <w:t>Public Service Company of New Mexico</w:t>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rPr>
                <w:rFonts w:ascii="Times New Roman" w:hAnsi="Times New Roman" w:cs="Times New Roman"/>
                <w:szCs w:val="24"/>
              </w:rPr>
            </w:pPr>
            <w:r>
              <w:rPr>
                <w:rFonts w:cs="Times New Roman" w:ascii="Times New Roman" w:hAnsi="Times New Roman"/>
                <w:szCs w:val="24"/>
              </w:rPr>
              <w:t>Docket No. RT02-1-000</w:t>
              <w:tab/>
            </w:r>
          </w:p>
        </w:tc>
      </w:tr>
      <w:tr>
        <w:trPr>
          <w:trHeight w:val="252" w:hRule="atLeast"/>
        </w:trPr>
        <w:tc>
          <w:tcPr>
            <w:tcW w:w="5058" w:type="dxa"/>
            <w:tcBorders/>
          </w:tcPr>
          <w:p>
            <w:pPr>
              <w:pStyle w:val="Normal"/>
              <w:rPr>
                <w:rFonts w:ascii="Times New Roman" w:hAnsi="Times New Roman" w:cs="Times New Roman"/>
                <w:szCs w:val="24"/>
              </w:rPr>
            </w:pPr>
            <w:r>
              <w:rPr>
                <w:rFonts w:cs="Times New Roman" w:ascii="Times New Roman" w:hAnsi="Times New Roman"/>
                <w:szCs w:val="24"/>
              </w:rPr>
              <w:t>Tucson Electric Power Company</w:t>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snapToGrid w:val="false"/>
              <w:rPr>
                <w:rFonts w:ascii="Times New Roman" w:hAnsi="Times New Roman" w:cs="Times New Roman"/>
                <w:szCs w:val="24"/>
              </w:rPr>
            </w:pPr>
            <w:r>
              <w:rPr>
                <w:rFonts w:cs="Times New Roman" w:ascii="Times New Roman" w:hAnsi="Times New Roman"/>
                <w:szCs w:val="24"/>
              </w:rPr>
            </w:r>
          </w:p>
        </w:tc>
      </w:tr>
      <w:tr>
        <w:trPr>
          <w:trHeight w:val="252" w:hRule="atLeast"/>
        </w:trPr>
        <w:tc>
          <w:tcPr>
            <w:tcW w:w="5058" w:type="dxa"/>
            <w:tcBorders/>
          </w:tcPr>
          <w:p>
            <w:pPr>
              <w:pStyle w:val="Normal"/>
              <w:snapToGrid w:val="false"/>
              <w:rPr>
                <w:rFonts w:ascii="Times New Roman" w:hAnsi="Times New Roman" w:cs="Times New Roman"/>
                <w:szCs w:val="24"/>
              </w:rPr>
            </w:pPr>
            <w:r>
              <w:rPr>
                <w:rFonts w:cs="Times New Roman" w:ascii="Times New Roman" w:hAnsi="Times New Roman"/>
                <w:szCs w:val="24"/>
              </w:rPr>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snapToGrid w:val="false"/>
              <w:rPr>
                <w:rFonts w:ascii="Times New Roman" w:hAnsi="Times New Roman" w:cs="Times New Roman"/>
                <w:szCs w:val="24"/>
              </w:rPr>
            </w:pPr>
            <w:r>
              <w:rPr>
                <w:rFonts w:cs="Times New Roman" w:ascii="Times New Roman" w:hAnsi="Times New Roman"/>
                <w:szCs w:val="24"/>
              </w:rPr>
            </w:r>
          </w:p>
        </w:tc>
      </w:tr>
      <w:tr>
        <w:trPr>
          <w:trHeight w:val="252" w:hRule="atLeast"/>
        </w:trPr>
        <w:tc>
          <w:tcPr>
            <w:tcW w:w="5058" w:type="dxa"/>
            <w:tcBorders/>
          </w:tcPr>
          <w:p>
            <w:pPr>
              <w:pStyle w:val="Normal"/>
              <w:rPr>
                <w:rFonts w:ascii="Times New Roman" w:hAnsi="Times New Roman" w:cs="Times New Roman"/>
                <w:szCs w:val="24"/>
              </w:rPr>
            </w:pPr>
            <w:r>
              <w:rPr>
                <w:rFonts w:cs="Times New Roman" w:ascii="Times New Roman" w:hAnsi="Times New Roman"/>
                <w:szCs w:val="24"/>
              </w:rPr>
              <w:t>WestConnect RTO, LLC</w:t>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snapToGrid w:val="false"/>
              <w:rPr>
                <w:rFonts w:ascii="Times New Roman" w:hAnsi="Times New Roman" w:cs="Times New Roman"/>
                <w:szCs w:val="24"/>
              </w:rPr>
            </w:pPr>
            <w:r>
              <w:rPr>
                <w:rFonts w:cs="Times New Roman" w:ascii="Times New Roman" w:hAnsi="Times New Roman"/>
                <w:szCs w:val="24"/>
              </w:rPr>
            </w:r>
          </w:p>
        </w:tc>
      </w:tr>
      <w:tr>
        <w:trPr>
          <w:trHeight w:val="252" w:hRule="atLeast"/>
        </w:trPr>
        <w:tc>
          <w:tcPr>
            <w:tcW w:w="5058" w:type="dxa"/>
            <w:tcBorders>
              <w:bottom w:val="single" w:sz="4" w:space="0" w:color="000000"/>
            </w:tcBorders>
          </w:tcPr>
          <w:p>
            <w:pPr>
              <w:pStyle w:val="Normal"/>
              <w:snapToGrid w:val="false"/>
              <w:rPr>
                <w:rFonts w:ascii="Times New Roman" w:hAnsi="Times New Roman" w:cs="Times New Roman"/>
                <w:szCs w:val="24"/>
              </w:rPr>
            </w:pPr>
            <w:r>
              <w:rPr>
                <w:rFonts w:cs="Times New Roman" w:ascii="Times New Roman" w:hAnsi="Times New Roman"/>
                <w:szCs w:val="24"/>
              </w:rPr>
            </w:r>
          </w:p>
        </w:tc>
        <w:tc>
          <w:tcPr>
            <w:tcW w:w="720" w:type="dxa"/>
            <w:tcBorders/>
          </w:tcPr>
          <w:p>
            <w:pPr>
              <w:pStyle w:val="Normal"/>
              <w:rPr>
                <w:rFonts w:ascii="Times New Roman" w:hAnsi="Times New Roman" w:cs="Times New Roman"/>
                <w:szCs w:val="24"/>
              </w:rPr>
            </w:pPr>
            <w:r>
              <w:rPr>
                <w:rFonts w:cs="Times New Roman" w:ascii="Times New Roman" w:hAnsi="Times New Roman"/>
                <w:szCs w:val="24"/>
              </w:rPr>
              <w:t>)</w:t>
            </w:r>
          </w:p>
        </w:tc>
        <w:tc>
          <w:tcPr>
            <w:tcW w:w="3798" w:type="dxa"/>
            <w:tcBorders/>
          </w:tcPr>
          <w:p>
            <w:pPr>
              <w:pStyle w:val="Normal"/>
              <w:snapToGrid w:val="false"/>
              <w:rPr>
                <w:rFonts w:ascii="Times New Roman" w:hAnsi="Times New Roman" w:cs="Times New Roman"/>
                <w:szCs w:val="24"/>
              </w:rPr>
            </w:pPr>
            <w:r>
              <w:rPr>
                <w:rFonts w:cs="Times New Roman" w:ascii="Times New Roman" w:hAnsi="Times New Roman"/>
                <w:szCs w:val="24"/>
              </w:rPr>
            </w:r>
          </w:p>
        </w:tc>
      </w:tr>
    </w:tbl>
    <w:p>
      <w:pPr>
        <w:pStyle w:val="TitleStyle"/>
        <w:rPr>
          <w:rFonts w:ascii="Times New Roman" w:hAnsi="Times New Roman" w:cs="Times New Roman"/>
          <w:szCs w:val="24"/>
        </w:rPr>
      </w:pPr>
      <w:r>
        <w:rPr>
          <w:rFonts w:cs="Times New Roman" w:ascii="Times New Roman" w:hAnsi="Times New Roman"/>
          <w:szCs w:val="24"/>
        </w:rPr>
      </w:r>
    </w:p>
    <w:p>
      <w:pPr>
        <w:pStyle w:val="TitleStyle"/>
        <w:rPr>
          <w:rFonts w:ascii="Times New Roman" w:hAnsi="Times New Roman" w:cs="Times New Roman"/>
          <w:szCs w:val="24"/>
        </w:rPr>
      </w:pPr>
      <w:r>
        <w:rPr>
          <w:rFonts w:cs="Times New Roman" w:ascii="Times New Roman" w:hAnsi="Times New Roman"/>
          <w:szCs w:val="24"/>
        </w:rPr>
        <w:t xml:space="preserve">MOtion TO INTERVENE and PROTEST OF </w:t>
      </w:r>
    </w:p>
    <w:p>
      <w:pPr>
        <w:pStyle w:val="TitleStyle"/>
        <w:rPr>
          <w:rFonts w:ascii="Times New Roman" w:hAnsi="Times New Roman" w:cs="Times New Roman"/>
          <w:szCs w:val="24"/>
          <w:u w:val="single"/>
        </w:rPr>
      </w:pPr>
      <w:r>
        <w:rPr>
          <w:rFonts w:cs="Times New Roman" w:ascii="Times New Roman" w:hAnsi="Times New Roman"/>
          <w:szCs w:val="24"/>
          <w:u w:val="single"/>
        </w:rPr>
        <w:t>WESTERN POWER TRADING FORUM</w:t>
      </w:r>
    </w:p>
    <w:p>
      <w:pPr>
        <w:pStyle w:val="TitleStyle"/>
        <w:rPr>
          <w:rFonts w:ascii="Times New Roman" w:hAnsi="Times New Roman" w:cs="Times New Roman"/>
          <w:szCs w:val="24"/>
          <w:u w:val="single"/>
        </w:rPr>
      </w:pPr>
      <w:r>
        <w:rPr>
          <w:rFonts w:cs="Times New Roman" w:ascii="Times New Roman" w:hAnsi="Times New Roman"/>
          <w:szCs w:val="24"/>
          <w:u w:val="single"/>
        </w:rPr>
      </w:r>
    </w:p>
    <w:p>
      <w:pPr>
        <w:pStyle w:val="BodyTextStyle"/>
        <w:spacing w:lineRule="auto" w:line="480"/>
        <w:ind w:firstLine="720" w:end="0"/>
        <w:jc w:val="both"/>
        <w:rPr/>
      </w:pPr>
      <w:r>
        <w:rPr/>
        <w:t>Pursuant to Rules 211 and 214 of the Rules of Practice and Procedure of the Federal Energy Regulatory Commission (“FERC” or “Commission”), 18 C.F.R. §§ 385.211 and 385.214, the Western Power Trading Forum (“WPTF”) hereby moves to Intervene in and Protests the above-captioned proceeding.  On October 15, 2001, Arizona Public Service Company, El Paso Electric Company, Public Service Company of New Mexico and Tucson Electric Power Company (collectively, the “Applicants”) filed with the Commission a Petition for Declaratory Order seeking confirmation from the Commission that their joint proposal to form WestConnect RTO, LLC (“WestConnect” or “the RTO”) satisfies the Commission’s requirements for the formation of RTOs under Order No. 2000.</w:t>
      </w:r>
      <w:r>
        <w:rPr>
          <w:rStyle w:val="FootnoteCharacters"/>
          <w:rStyle w:val="FootnoteReference"/>
          <w:rFonts w:cs="Times New Roman" w:ascii="Times New Roman" w:hAnsi="Times New Roman"/>
          <w:szCs w:val="24"/>
        </w:rPr>
        <w:footnoteReference w:id="2"/>
      </w:r>
      <w:r>
        <w:rPr/>
        <w:t xml:space="preserve">  The Applicants state that Salt River Project Agricultural Power and Improvement District (“SRP”), Western Area Power Administration (“WAPA”) and Southwest Transmission Power Cooperative, Inc. (“SWTC”) (collectively, the “Non-Jurisdictional Participants”) participated in the development of WestConnect formation efforts and support the Applicant’s petition.  </w:t>
      </w:r>
      <w:r>
        <w:br w:type="page"/>
      </w:r>
    </w:p>
    <w:p>
      <w:pPr>
        <w:pStyle w:val="BodyTextStyle"/>
        <w:spacing w:lineRule="auto" w:line="480"/>
        <w:ind w:hanging="0" w:end="0"/>
        <w:jc w:val="center"/>
        <w:rPr>
          <w:b/>
        </w:rPr>
      </w:pPr>
      <w:r>
        <w:rPr>
          <w:b/>
        </w:rPr>
        <w:t>I.  IDENTITY OF THE PARTY AND MOTION TO INTERVENE</w:t>
      </w:r>
    </w:p>
    <w:p>
      <w:pPr>
        <w:pStyle w:val="BodyText"/>
        <w:spacing w:lineRule="auto" w:line="480" w:before="0" w:after="0"/>
        <w:ind w:firstLine="72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BodyText"/>
        <w:spacing w:lineRule="auto" w:line="480" w:before="0" w:after="0"/>
        <w:ind w:firstLine="720" w:end="0"/>
        <w:jc w:val="both"/>
        <w:rPr>
          <w:rFonts w:ascii="Times New Roman" w:hAnsi="Times New Roman" w:cs="Times New Roman"/>
          <w:szCs w:val="24"/>
        </w:rPr>
      </w:pPr>
      <w:r>
        <w:rPr/>
        <w:t>WPTF provides a voice through which members can influence the development of market structures throughout the region.  The membership of WPTF includes energy service providers, scheduling coordinators, generators, federal power agencies, municipal utilities and a power exchange, all of which are active participants in the restructured California electricity market.  WPTF has a vital interest in the development of a competitive electric market and in the reduction of barriers that may exist in the structure of new markets.</w:t>
      </w:r>
    </w:p>
    <w:p>
      <w:pPr>
        <w:pStyle w:val="BodyTextStyle"/>
        <w:spacing w:lineRule="auto" w:line="480"/>
        <w:ind w:firstLine="720" w:end="0"/>
        <w:jc w:val="both"/>
        <w:rPr>
          <w:rFonts w:ascii="Times New Roman" w:hAnsi="Times New Roman" w:cs="Times New Roman"/>
          <w:szCs w:val="24"/>
        </w:rPr>
      </w:pPr>
      <w:r>
        <w:rPr>
          <w:rFonts w:cs="Times New Roman" w:ascii="Times New Roman" w:hAnsi="Times New Roman"/>
          <w:szCs w:val="24"/>
        </w:rPr>
        <w:t>WPTF has several members who are active participants in the markets to be served by WestConnect.  This participation takes the form of selling or scheduling power on a wholesale basis and/or the development of new generation projects in the regions covered by the WestConnect filing.  The membership of WPTF is diverse, as noted above.  It s membership will be affected in many different ways by the Applicants’ proposal.  WPTF therefore has a vital interest in assuring that any structure to be approved by the Commission will provide equal access to WestConnect transmission facilities, appropriate governance structures and fair and nondiscriminatory pricing for transmission services.  As a result, WPTF has an interest in the outcome of the instant proceedings, which cannot adequately be represented by any other single party.  WPTF suggests that good cause exists for granting this timely motion to intervene, that such intervention is in the public interest, and should be granted.</w:t>
      </w:r>
    </w:p>
    <w:p>
      <w:pPr>
        <w:pStyle w:val="BodyTextStyle"/>
        <w:spacing w:lineRule="auto" w:line="480"/>
        <w:ind w:firstLine="720" w:end="0"/>
        <w:jc w:val="both"/>
        <w:rPr/>
      </w:pPr>
      <w:r>
        <w:rPr/>
        <w:t>All pleadings, correspondence and other communications concerning this proceeding should be directed to:</w:t>
      </w:r>
    </w:p>
    <w:tbl>
      <w:tblPr>
        <w:tblW w:w="4410" w:type="dxa"/>
        <w:jc w:val="start"/>
        <w:tblInd w:w="2898" w:type="dxa"/>
        <w:tblLayout w:type="fixed"/>
        <w:tblCellMar>
          <w:top w:w="0" w:type="dxa"/>
          <w:start w:w="108" w:type="dxa"/>
          <w:bottom w:w="0" w:type="dxa"/>
          <w:end w:w="108" w:type="dxa"/>
        </w:tblCellMar>
      </w:tblPr>
      <w:tblGrid>
        <w:gridCol w:w="4410"/>
      </w:tblGrid>
      <w:tr>
        <w:trPr>
          <w:trHeight w:val="2223" w:hRule="atLeast"/>
        </w:trPr>
        <w:tc>
          <w:tcPr>
            <w:tcW w:w="4410" w:type="dxa"/>
            <w:tcBorders/>
          </w:tcPr>
          <w:p>
            <w:pPr>
              <w:pStyle w:val="Normal"/>
              <w:tabs>
                <w:tab w:val="clear" w:pos="720"/>
                <w:tab w:val="left" w:pos="-720" w:leader="none"/>
              </w:tabs>
              <w:suppressAutoHyphens w:val="true"/>
              <w:rPr>
                <w:rFonts w:ascii="Times New Roman" w:hAnsi="Times New Roman" w:cs="Times New Roman"/>
                <w:spacing w:val="-3"/>
              </w:rPr>
            </w:pPr>
            <w:r>
              <w:rPr>
                <w:rFonts w:cs="Times New Roman" w:ascii="Times New Roman" w:hAnsi="Times New Roman"/>
                <w:spacing w:val="-3"/>
              </w:rPr>
              <w:t>Daniel W. Douglass</w:t>
              <w:tab/>
            </w:r>
          </w:p>
          <w:p>
            <w:pPr>
              <w:pStyle w:val="Normal"/>
              <w:tabs>
                <w:tab w:val="clear" w:pos="720"/>
                <w:tab w:val="left" w:pos="-720" w:leader="none"/>
              </w:tabs>
              <w:suppressAutoHyphens w:val="true"/>
              <w:rPr>
                <w:rFonts w:ascii="Times New Roman" w:hAnsi="Times New Roman" w:cs="Times New Roman"/>
                <w:spacing w:val="-3"/>
              </w:rPr>
            </w:pPr>
            <w:r>
              <w:rPr>
                <w:rFonts w:cs="Times New Roman" w:ascii="Times New Roman" w:hAnsi="Times New Roman"/>
                <w:spacing w:val="-3"/>
              </w:rPr>
              <w:t>Law Offices of Daniel W. Douglass</w:t>
              <w:tab/>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5959 Topanga Canyon Blvd., Suite 244</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Woodland Hills, CA 91367</w:t>
              <w:br/>
              <w:t>Telephone:  (818) 596-2201</w:t>
              <w:br/>
              <w:t>Facsimile:   (818) 346-6502</w:t>
            </w:r>
          </w:p>
          <w:p>
            <w:pPr>
              <w:pStyle w:val="Normal"/>
              <w:rPr>
                <w:rFonts w:ascii="Times New Roman" w:hAnsi="Times New Roman" w:cs="Times New Roman"/>
                <w:szCs w:val="24"/>
              </w:rPr>
            </w:pPr>
            <w:r>
              <w:rPr>
                <w:rFonts w:cs="Times New Roman" w:ascii="Times New Roman" w:hAnsi="Times New Roman"/>
              </w:rPr>
              <w:t>E-Mail:  douglass@energyattorney.com</w:t>
            </w:r>
          </w:p>
        </w:tc>
      </w:tr>
    </w:tbl>
    <w:p>
      <w:pPr>
        <w:pStyle w:val="Heading1"/>
        <w:numPr>
          <w:ilvl w:val="0"/>
          <w:numId w:val="0"/>
        </w:numPr>
        <w:ind w:hanging="0" w:start="0"/>
        <w:jc w:val="center"/>
        <w:rPr>
          <w:rFonts w:ascii="Times New Roman" w:hAnsi="Times New Roman" w:cs="Times New Roman"/>
          <w:b/>
          <w:szCs w:val="24"/>
        </w:rPr>
      </w:pPr>
      <w:r>
        <w:rPr>
          <w:rFonts w:cs="Times New Roman" w:ascii="Times New Roman" w:hAnsi="Times New Roman"/>
          <w:b/>
          <w:szCs w:val="24"/>
        </w:rPr>
      </w:r>
    </w:p>
    <w:p>
      <w:pPr>
        <w:pStyle w:val="Heading1"/>
        <w:numPr>
          <w:ilvl w:val="0"/>
          <w:numId w:val="0"/>
        </w:numPr>
        <w:spacing w:lineRule="auto" w:line="480"/>
        <w:ind w:hanging="0" w:start="0"/>
        <w:jc w:val="center"/>
        <w:rPr>
          <w:rFonts w:ascii="Times New Roman" w:hAnsi="Times New Roman" w:cs="Times New Roman"/>
          <w:b/>
          <w:szCs w:val="24"/>
        </w:rPr>
      </w:pPr>
      <w:r>
        <w:rPr>
          <w:rFonts w:cs="Times New Roman" w:ascii="Times New Roman" w:hAnsi="Times New Roman"/>
          <w:b/>
          <w:szCs w:val="24"/>
        </w:rPr>
        <w:t>II.  SUMMARY OF COMMENTS</w:t>
      </w:r>
    </w:p>
    <w:p>
      <w:pPr>
        <w:pStyle w:val="BodyTextStyle"/>
        <w:spacing w:lineRule="auto" w:line="480"/>
        <w:ind w:firstLine="720" w:end="0"/>
        <w:jc w:val="both"/>
        <w:rPr/>
      </w:pPr>
      <w:r>
        <w:rPr/>
        <w:t xml:space="preserve">In its </w:t>
      </w:r>
      <w:r>
        <w:rPr>
          <w:i/>
        </w:rPr>
        <w:t>Order Providing Guidance on Continued Processing of RTO Filings</w:t>
      </w:r>
      <w:r>
        <w:rPr>
          <w:iCs/>
        </w:rPr>
        <w:t>,</w:t>
      </w:r>
      <w:r>
        <w:rPr/>
        <w:t xml:space="preserve"> </w:t>
      </w:r>
      <w:r>
        <w:rPr>
          <w:rStyle w:val="FootnoteCharacters"/>
          <w:rStyle w:val="FootnoteReference"/>
        </w:rPr>
        <w:footnoteReference w:id="3"/>
      </w:r>
      <w:r>
        <w:rPr/>
        <w:t xml:space="preserve"> </w:t>
      </w:r>
      <w:r>
        <w:rPr>
          <w:rFonts w:cs="Times New Roman" w:ascii="Times New Roman" w:hAnsi="Times New Roman"/>
          <w:szCs w:val="24"/>
        </w:rPr>
        <w:t xml:space="preserve">the Commission indicated it would proceed with RTO development on a bifurcated basis.  Issues pertaining to an RTO’s governance and geographic scope would be addressed in pending “RT” dockets such as this proceeding.  On a parallel track, the Commission will deal with topics like generator interconnection and market design matters in its future rulemaking proceedings. </w:t>
      </w:r>
      <w:r>
        <w:rPr>
          <w:rStyle w:val="FootnoteCharacters"/>
          <w:rStyle w:val="FootnoteReference"/>
          <w:rFonts w:cs="Times New Roman" w:ascii="Times New Roman" w:hAnsi="Times New Roman"/>
          <w:szCs w:val="24"/>
        </w:rPr>
        <w:footnoteReference w:id="4"/>
      </w:r>
      <w:r>
        <w:rPr>
          <w:rFonts w:cs="Times New Roman" w:ascii="Times New Roman" w:hAnsi="Times New Roman"/>
          <w:szCs w:val="24"/>
        </w:rPr>
        <w:t xml:space="preserve">  As a result, these comments of WPTF focus primarily on independence and governance issues.  In addition, WPTF makes the following recommendations herein:</w:t>
      </w:r>
    </w:p>
    <w:p>
      <w:pPr>
        <w:pStyle w:val="BodyTextStyle"/>
        <w:numPr>
          <w:ilvl w:val="0"/>
          <w:numId w:val="6"/>
        </w:numPr>
        <w:spacing w:lineRule="auto" w:line="480"/>
        <w:jc w:val="both"/>
        <w:rPr>
          <w:rFonts w:ascii="Times New Roman" w:hAnsi="Times New Roman" w:cs="Times New Roman"/>
          <w:szCs w:val="24"/>
        </w:rPr>
      </w:pPr>
      <w:r>
        <w:rPr/>
        <w:t>The Commission should convene a technical conference to deals with areas in the WestConnect filing that require further clarification, such as congestion management.  Moreover, the analysis of congestion management issues must focus on the equitable allocation of transmission rights;</w:t>
      </w:r>
    </w:p>
    <w:p>
      <w:pPr>
        <w:pStyle w:val="BodyTextStyle"/>
        <w:numPr>
          <w:ilvl w:val="0"/>
          <w:numId w:val="6"/>
        </w:numPr>
        <w:jc w:val="both"/>
        <w:rPr>
          <w:rFonts w:ascii="Times New Roman" w:hAnsi="Times New Roman" w:cs="Times New Roman"/>
          <w:szCs w:val="24"/>
        </w:rPr>
      </w:pPr>
      <w:r>
        <w:rPr>
          <w:rFonts w:cs="Times New Roman" w:ascii="Times New Roman" w:hAnsi="Times New Roman"/>
          <w:szCs w:val="24"/>
        </w:rPr>
        <w:t>The Commission should require WestConnect to establish an independent board, with an accompanying stakeholder process that complies with commission precedent;</w:t>
      </w:r>
    </w:p>
    <w:p>
      <w:pPr>
        <w:pStyle w:val="BodyTextStyle"/>
        <w:numPr>
          <w:ilvl w:val="0"/>
          <w:numId w:val="6"/>
        </w:numPr>
        <w:jc w:val="both"/>
        <w:rPr>
          <w:rFonts w:ascii="Times New Roman" w:hAnsi="Times New Roman" w:cs="Times New Roman"/>
          <w:szCs w:val="24"/>
        </w:rPr>
      </w:pPr>
      <w:r>
        <w:rPr>
          <w:rFonts w:cs="Times New Roman" w:ascii="Times New Roman" w:hAnsi="Times New Roman"/>
          <w:szCs w:val="24"/>
        </w:rPr>
        <w:t xml:space="preserve">All load should be required to take service under the WestConnect tariff; </w:t>
      </w:r>
    </w:p>
    <w:p>
      <w:pPr>
        <w:pStyle w:val="BodyTextStyle"/>
        <w:numPr>
          <w:ilvl w:val="0"/>
          <w:numId w:val="6"/>
        </w:numPr>
        <w:jc w:val="both"/>
        <w:rPr>
          <w:rFonts w:ascii="Times New Roman" w:hAnsi="Times New Roman" w:cs="Times New Roman"/>
          <w:szCs w:val="24"/>
        </w:rPr>
      </w:pPr>
      <w:r>
        <w:rPr>
          <w:rFonts w:cs="Times New Roman" w:ascii="Times New Roman" w:hAnsi="Times New Roman"/>
          <w:szCs w:val="24"/>
        </w:rPr>
        <w:t>Interconnection issues should be deferred until completion of the Commission’s generic proceeding on this topic; and</w:t>
      </w:r>
    </w:p>
    <w:p>
      <w:pPr>
        <w:pStyle w:val="BodyTextStyle"/>
        <w:numPr>
          <w:ilvl w:val="0"/>
          <w:numId w:val="6"/>
        </w:numPr>
        <w:jc w:val="both"/>
        <w:rPr>
          <w:rFonts w:ascii="Times New Roman" w:hAnsi="Times New Roman" w:cs="Times New Roman"/>
          <w:szCs w:val="24"/>
        </w:rPr>
      </w:pPr>
      <w:r>
        <w:rPr/>
        <w:t>Since a for-profit Transco has an inherent incentive to maximize transmission revenue, there are certain RTO functions that an entity such as WestConnect should not perform.</w:t>
      </w:r>
    </w:p>
    <w:p>
      <w:pPr>
        <w:pStyle w:val="BodyTextStyle"/>
        <w:ind w:firstLine="720" w:end="0"/>
        <w:jc w:val="both"/>
        <w:rPr>
          <w:rFonts w:ascii="Times New Roman" w:hAnsi="Times New Roman" w:cs="Times New Roman"/>
          <w:szCs w:val="24"/>
        </w:rPr>
      </w:pPr>
      <w:r>
        <w:rPr>
          <w:rFonts w:cs="Times New Roman" w:ascii="Times New Roman" w:hAnsi="Times New Roman"/>
          <w:szCs w:val="24"/>
        </w:rPr>
      </w:r>
    </w:p>
    <w:p>
      <w:pPr>
        <w:pStyle w:val="BodyTextStyle"/>
        <w:numPr>
          <w:ilvl w:val="0"/>
          <w:numId w:val="2"/>
        </w:numPr>
        <w:spacing w:lineRule="auto" w:line="240"/>
        <w:jc w:val="center"/>
        <w:rPr>
          <w:rFonts w:ascii="Times New Roman" w:hAnsi="Times New Roman" w:cs="Times New Roman"/>
          <w:b/>
          <w:bCs/>
          <w:szCs w:val="24"/>
        </w:rPr>
      </w:pPr>
      <w:r>
        <w:rPr>
          <w:rFonts w:cs="Times New Roman" w:ascii="Times New Roman" w:hAnsi="Times New Roman"/>
          <w:b/>
          <w:bCs/>
          <w:szCs w:val="24"/>
        </w:rPr>
        <w:t>A TECHNICAL CONFERENCE IS REQUIRED TO DEAL WITH ISSUES SUCH AS CONGESTION MANAGEMENT AND THE FAIR</w:t>
      </w:r>
    </w:p>
    <w:p>
      <w:pPr>
        <w:pStyle w:val="BodyTextStyle"/>
        <w:spacing w:lineRule="auto" w:line="240"/>
        <w:ind w:hanging="0" w:start="360" w:end="0"/>
        <w:jc w:val="center"/>
        <w:rPr>
          <w:rFonts w:ascii="Times New Roman" w:hAnsi="Times New Roman" w:cs="Times New Roman"/>
          <w:b/>
          <w:bCs/>
          <w:szCs w:val="24"/>
        </w:rPr>
      </w:pPr>
      <w:r>
        <w:rPr>
          <w:rFonts w:cs="Times New Roman" w:ascii="Times New Roman" w:hAnsi="Times New Roman"/>
          <w:b/>
          <w:bCs/>
          <w:szCs w:val="24"/>
        </w:rPr>
        <w:t>ALLOCATION OF TTRANSMISSION RIGHTS</w:t>
      </w:r>
    </w:p>
    <w:p>
      <w:pPr>
        <w:pStyle w:val="BodyTextStyle"/>
        <w:spacing w:lineRule="auto" w:line="240"/>
        <w:ind w:hanging="0" w:start="360" w:end="0"/>
        <w:jc w:val="center"/>
        <w:rPr>
          <w:rFonts w:ascii="Times New Roman" w:hAnsi="Times New Roman" w:cs="Times New Roman"/>
          <w:b/>
          <w:bCs/>
          <w:szCs w:val="24"/>
        </w:rPr>
      </w:pPr>
      <w:r>
        <w:rPr>
          <w:rFonts w:cs="Times New Roman" w:ascii="Times New Roman" w:hAnsi="Times New Roman"/>
          <w:b/>
          <w:bCs/>
          <w:szCs w:val="24"/>
        </w:rPr>
      </w:r>
    </w:p>
    <w:p>
      <w:pPr>
        <w:pStyle w:val="Normal"/>
        <w:spacing w:lineRule="auto" w:line="480"/>
        <w:ind w:firstLine="720" w:end="0"/>
        <w:jc w:val="both"/>
        <w:rPr/>
      </w:pPr>
      <w:r>
        <w:rPr/>
        <w:t xml:space="preserve">The WestConnect filing represents a good faith effort to confront many of the critical issues that are intrinsic features of RTOs.  Invariably, however, some topics receive full attention while others are dealt with on a more perfunctory basis.  In this regard, WPTF believes that the </w:t>
        <w:br/>
        <w:t>Applicants have given short shrift to the issues of congestion management.  This is a critical issue, as the fair and efficient allocation of transmission rights is of paramount importance.  A timely technical conference would permit all interested parties to work together with FERC staff present to discuss and resolve issues without taking actions that might be contrary to the Commission’s proposed rulemaking on standard market design and business standardization.</w:t>
      </w:r>
      <w:r>
        <w:rPr>
          <w:rFonts w:cs="Times New Roman" w:ascii="Times New Roman" w:hAnsi="Times New Roman"/>
          <w:szCs w:val="24"/>
        </w:rPr>
        <w:t xml:space="preserve"> WPTF acknowledges that the congestion management structure proposed for WestConnect is not fatally flawed.  However, the manner in which the Applicants have addressed the subject will inevitably serve to insure that incumbent transmission owners maintain a competitive advantage.</w:t>
      </w:r>
      <w:r>
        <w:rPr/>
        <w:t xml:space="preserve">  A technical conference is needed to resolve these inequities.</w:t>
      </w:r>
    </w:p>
    <w:p>
      <w:pPr>
        <w:pStyle w:val="Normal"/>
        <w:spacing w:lineRule="auto" w:line="480"/>
        <w:ind w:firstLine="720" w:end="0"/>
        <w:jc w:val="both"/>
        <w:rPr/>
      </w:pPr>
      <w:r>
        <w:rPr/>
        <w:t xml:space="preserve">In fact, such a technical conference could serve as a helpful vehicle for providing input for the Commission’s expected notice of proposed rulemaking on standard market design.  This would complement the national effort by the Commission with regard to RTOs, while still permitting regional differences to be identified.  Furthermore, since the West has other RTOs, a technical conference could serve as the appropriate vehicle for identifying seams issues with other Western RTOs and encouraging cooperation in their resolution.  WPTF is committed to working with Commission Staff, the Applicants and all interested parties in cooperatively developing a seamless, wholesale electric competitive market in the West and believes that a technical conference would serve that interest. </w:t>
      </w:r>
    </w:p>
    <w:p>
      <w:pPr>
        <w:pStyle w:val="Normal"/>
        <w:spacing w:lineRule="auto" w:line="480"/>
        <w:ind w:firstLine="720" w:end="0"/>
        <w:jc w:val="both"/>
        <w:rPr/>
      </w:pPr>
      <w:r>
        <w:rPr/>
        <w:t>In pursuing this effort, it must be acknowledged that the allocation of transmission rights is the critical component of any congestion management proposal.  The WestConnect filing provides that firm transmission rights (“FTRs”) will be auctioned on both FTR interfaces (</w:t>
      </w:r>
      <w:r>
        <w:rPr>
          <w:rFonts w:cs="Times New Roman" w:ascii="Times New Roman" w:hAnsi="Times New Roman"/>
        </w:rPr>
        <w:t xml:space="preserve">a transmission line or group of transmission lines forming a specific transmission interface point between two adjacent congestion zones or between a WestConnect congestion zone and an adjacent scheduling point) and </w:t>
      </w:r>
      <w:r>
        <w:rPr/>
        <w:t>scheduling points (</w:t>
      </w:r>
      <w:r>
        <w:rPr>
          <w:rFonts w:cs="Times New Roman" w:ascii="Times New Roman" w:hAnsi="Times New Roman"/>
        </w:rPr>
        <w:t>a location at which the WestConnect Grid is connected to transmission facilities that are external to the WestConnect operational authority)</w:t>
      </w:r>
      <w:r>
        <w:rPr/>
        <w:t xml:space="preserve">.  However, the Participating Transmission Owners (“PTOs”) will receive priority FTR allocations for their bundled native load transmission service as well as projected load growth.  </w:t>
      </w:r>
    </w:p>
    <w:p>
      <w:pPr>
        <w:pStyle w:val="Normal"/>
        <w:spacing w:lineRule="auto" w:line="480"/>
        <w:ind w:firstLine="720" w:end="0"/>
        <w:jc w:val="both"/>
        <w:rPr/>
      </w:pPr>
      <w:r>
        <w:rPr/>
        <w:t xml:space="preserve">WPTF notes that the initial allocation of transmission rights must be implemented correctly.  A successful RTO will encourage participation by competitive suppliers.  In order for these parties to participate fully and freely, there must be an equitable ability to acquire transmission rights.  Although an auction is clearly the most efficient way to accomplish this objective, the Commission has recognized the need for the existing users of the system to be accommodated.  </w:t>
      </w:r>
    </w:p>
    <w:p>
      <w:pPr>
        <w:pStyle w:val="Normal"/>
        <w:spacing w:lineRule="auto" w:line="480"/>
        <w:ind w:firstLine="720" w:end="0"/>
        <w:jc w:val="both"/>
        <w:rPr/>
      </w:pPr>
      <w:r>
        <w:rPr/>
        <w:t>WPTF suggests that a successful RTO will cause more and more movement from bundled utility service to competitive markets.  As a result, the initial allocations of transmission capacity should not be set in stone.  To do so would in fact create an eventual barrier to competition.  A technical conference could focus on developing a plan by which the initial allocation of transmission capacity would be re-evaluated on a regular basis (perhaps every two years), so that an increasing percentage of rights would be permitted to migrate to a competitive auction.  The goal should be to ensure that those entities that value capacity most highly would be able to acquire it.  This could mean that the PTOs would increase their existing capacity, or it could mean that competitive suppliers would increase their holdings.  Either way, it would maximize transmission revenues for WestConnect, facilitate the resolution of congestion management issues and encourage the development of a competitive market.</w:t>
      </w:r>
    </w:p>
    <w:p>
      <w:pPr>
        <w:pStyle w:val="BodyTextStyle"/>
        <w:ind w:firstLine="720" w:end="0"/>
        <w:jc w:val="both"/>
        <w:rPr>
          <w:rFonts w:ascii="Times New Roman" w:hAnsi="Times New Roman" w:cs="Times New Roman"/>
          <w:szCs w:val="24"/>
        </w:rPr>
      </w:pPr>
      <w:r>
        <w:rPr>
          <w:rFonts w:cs="Times New Roman" w:ascii="Times New Roman" w:hAnsi="Times New Roman"/>
          <w:szCs w:val="24"/>
        </w:rPr>
      </w:r>
    </w:p>
    <w:p>
      <w:pPr>
        <w:pStyle w:val="BodyTextStyle"/>
        <w:spacing w:lineRule="auto" w:line="240"/>
        <w:ind w:hanging="0" w:end="0"/>
        <w:jc w:val="center"/>
        <w:rPr>
          <w:rFonts w:ascii="Times New Roman" w:hAnsi="Times New Roman" w:cs="Times New Roman"/>
          <w:b/>
          <w:bCs/>
          <w:szCs w:val="24"/>
        </w:rPr>
      </w:pPr>
      <w:r>
        <w:rPr>
          <w:rFonts w:cs="Times New Roman" w:ascii="Times New Roman" w:hAnsi="Times New Roman"/>
          <w:b/>
          <w:bCs/>
          <w:szCs w:val="24"/>
        </w:rPr>
        <w:t>IV.  WESTCONNECT NEEDS A TRULY INDEPENDENT BOARD WITH AN EFFECTIVE STAKEHOLDER PROCESS TO SUPPORT IT</w:t>
      </w:r>
    </w:p>
    <w:p>
      <w:pPr>
        <w:pStyle w:val="BodyTextStyle"/>
        <w:ind w:firstLine="720" w:end="0"/>
        <w:jc w:val="both"/>
        <w:rPr/>
      </w:pPr>
      <w:r>
        <w:rPr/>
        <w:t xml:space="preserve">It is instructive to note that the WestConnect filing stems from the earlier effort to create Desert STAR, a proposed independent system operator for the Southwest.  The participants in the Desert STAR process included a broad spectrum of various stakeholders, including the current Applicants.  Moreover, the same eight classes included in the Desert Star proposal are replicated in the WestConnect proposal.   However, the previous collaborative process used for Desert star was not replicated for WestConnect, as the Applicants disclose </w:t>
      </w:r>
      <w:r>
        <w:rPr>
          <w:rFonts w:cs="Times New Roman" w:ascii="Times New Roman" w:hAnsi="Times New Roman"/>
        </w:rPr>
        <w:t>that that the WestConnect filing is not the product of the Desert STAR stakeholder process, but rather is based upon “negotiations” among the “WestConnect Applicants.”  Petition at 2-3.</w:t>
      </w:r>
    </w:p>
    <w:p>
      <w:pPr>
        <w:pStyle w:val="BodyTextStyle"/>
        <w:spacing w:lineRule="auto" w:line="480"/>
        <w:ind w:firstLine="720" w:end="0"/>
        <w:jc w:val="both"/>
        <w:rPr>
          <w:rFonts w:ascii="Times New Roman" w:hAnsi="Times New Roman" w:cs="Times New Roman"/>
          <w:szCs w:val="24"/>
        </w:rPr>
      </w:pPr>
      <w:r>
        <w:rPr>
          <w:rFonts w:cs="Times New Roman" w:ascii="Times New Roman" w:hAnsi="Times New Roman"/>
          <w:szCs w:val="24"/>
        </w:rPr>
        <w:t xml:space="preserve">WPTF does not oppose the creation of a for-profit Transco.  However, there is legitimate concern the PTOs retain too much authority over WestConnect operations, in contravention of the independence requirements of Order No. 2000.  The movement away from a stakeholder-driven Desert Star to the for-profit WestConnect led to compromises with regard to the RTO’s ability to operate the grid independently.  This is evident from a review of the </w:t>
      </w:r>
      <w:r>
        <w:rPr>
          <w:rFonts w:cs="Times New Roman" w:ascii="Times New Roman" w:hAnsi="Times New Roman"/>
          <w:i/>
          <w:szCs w:val="24"/>
        </w:rPr>
        <w:t>pro forma</w:t>
      </w:r>
      <w:r>
        <w:rPr>
          <w:rFonts w:cs="Times New Roman" w:ascii="Times New Roman" w:hAnsi="Times New Roman"/>
          <w:szCs w:val="24"/>
        </w:rPr>
        <w:t xml:space="preserve"> Transmission Control Agreement (“TCA”) which includes multiple obligations for WestConnect management to “consult” with the PTOs on numerous issues.  For example, without first consulting with the PTOs, WestConnect cannot revise its own Tariff or Operating Procedures; </w:t>
      </w:r>
      <w:r>
        <w:rPr>
          <w:rStyle w:val="FootnoteCharacters"/>
          <w:rStyle w:val="FootnoteReference"/>
          <w:rFonts w:cs="Times New Roman" w:ascii="Times New Roman" w:hAnsi="Times New Roman"/>
          <w:szCs w:val="24"/>
        </w:rPr>
        <w:footnoteReference w:id="5"/>
      </w:r>
      <w:r>
        <w:rPr>
          <w:rFonts w:cs="Times New Roman" w:ascii="Times New Roman" w:hAnsi="Times New Roman"/>
          <w:szCs w:val="24"/>
        </w:rPr>
        <w:t xml:space="preserve"> it cannot issue Reliability Criteria; </w:t>
      </w:r>
      <w:r>
        <w:rPr>
          <w:rStyle w:val="FootnoteCharacters"/>
          <w:rStyle w:val="FootnoteReference"/>
          <w:rFonts w:cs="Times New Roman" w:ascii="Times New Roman" w:hAnsi="Times New Roman"/>
          <w:szCs w:val="24"/>
        </w:rPr>
        <w:footnoteReference w:id="6"/>
      </w:r>
      <w:r>
        <w:rPr>
          <w:rFonts w:cs="Times New Roman" w:ascii="Times New Roman" w:hAnsi="Times New Roman"/>
          <w:szCs w:val="24"/>
        </w:rPr>
        <w:t xml:space="preserve"> and it cannot calculate Total Transfer Capability or Available Transmission Capability. </w:t>
      </w:r>
      <w:r>
        <w:rPr>
          <w:rStyle w:val="FootnoteCharacters"/>
          <w:rStyle w:val="FootnoteReference"/>
          <w:rFonts w:cs="Times New Roman" w:ascii="Times New Roman" w:hAnsi="Times New Roman"/>
          <w:szCs w:val="24"/>
        </w:rPr>
        <w:footnoteReference w:id="7"/>
      </w:r>
      <w:r>
        <w:rPr>
          <w:rFonts w:cs="Times New Roman" w:ascii="Times New Roman" w:hAnsi="Times New Roman"/>
          <w:szCs w:val="24"/>
        </w:rPr>
        <w:t xml:space="preserve">  This sort of “mother, may I?” structure simply is not consistent with Order 2000.  Moreover, other stakeholders have no such prior review right with regard to these issues.</w:t>
      </w:r>
      <w:r>
        <w:rPr/>
        <w:t xml:space="preserve">  There are multiple further examples of this preferential treatment of the Applicants.</w:t>
      </w:r>
    </w:p>
    <w:p>
      <w:pPr>
        <w:pStyle w:val="BodyTextStyle"/>
        <w:spacing w:lineRule="auto" w:line="480"/>
        <w:ind w:firstLine="720" w:end="0"/>
        <w:jc w:val="both"/>
        <w:rPr/>
      </w:pPr>
      <w:r>
        <w:rPr/>
        <w:t xml:space="preserve">For example, the proposal is also slanted toward Applicant control because of the fact that they retain the right to block RTO action </w:t>
      </w:r>
      <w:r>
        <w:rPr>
          <w:rStyle w:val="FootnoteCharacters"/>
          <w:rStyle w:val="FootnoteReference"/>
          <w:rFonts w:cs="Times New Roman" w:ascii="Times New Roman" w:hAnsi="Times New Roman"/>
          <w:szCs w:val="24"/>
        </w:rPr>
        <w:footnoteReference w:id="8"/>
      </w:r>
      <w:r>
        <w:rPr/>
        <w:t xml:space="preserve"> and even to postpone the RTO Operations Date. </w:t>
      </w:r>
      <w:r>
        <w:rPr>
          <w:rStyle w:val="FootnoteCharacters"/>
          <w:rStyle w:val="FootnoteReference"/>
          <w:rFonts w:cs="Times New Roman" w:ascii="Times New Roman" w:hAnsi="Times New Roman"/>
          <w:szCs w:val="24"/>
        </w:rPr>
        <w:footnoteReference w:id="9"/>
      </w:r>
      <w:r>
        <w:rPr/>
        <w:t xml:space="preserve">  Most dramatically, each individual Applicant has veto authority over </w:t>
      </w:r>
      <w:r>
        <w:rPr>
          <w:u w:val="single"/>
        </w:rPr>
        <w:t>any</w:t>
      </w:r>
      <w:r>
        <w:rPr/>
        <w:t xml:space="preserve"> change to WestConnect’s rate methodology through January 1, 2009. </w:t>
      </w:r>
      <w:r>
        <w:rPr>
          <w:rStyle w:val="FootnoteCharacters"/>
          <w:rStyle w:val="FootnoteReference"/>
          <w:rFonts w:cs="Times New Roman" w:ascii="Times New Roman" w:hAnsi="Times New Roman"/>
          <w:szCs w:val="24"/>
        </w:rPr>
        <w:footnoteReference w:id="10"/>
      </w:r>
      <w:r>
        <w:rPr/>
        <w:t xml:space="preserve">  Other provisions provide the Applicants with a first right of refusal to construct new transmission facilities, preferential treatment of their contracts and (as described above) preferential access to congestion rights.  The selection process for the Board of Directors is also similarly flawed.  Itdivides the Board Selection Committee into two voting groups, where the Applicants wield as much authority as do </w:t>
      </w:r>
      <w:r>
        <w:rPr>
          <w:u w:val="single"/>
        </w:rPr>
        <w:t>all</w:t>
      </w:r>
      <w:r>
        <w:rPr/>
        <w:t xml:space="preserve"> of the remaining stakeholders.  </w:t>
      </w:r>
    </w:p>
    <w:p>
      <w:pPr>
        <w:pStyle w:val="BodyTextStyle"/>
        <w:spacing w:lineRule="auto" w:line="480"/>
        <w:ind w:firstLine="720" w:end="0"/>
        <w:jc w:val="both"/>
        <w:rPr/>
      </w:pPr>
      <w:r>
        <w:rPr/>
        <w:t xml:space="preserve">The issue of favoritism is also evident with regard to public power, which has advocated the concept of a “self-tracking system” that would permit their existing Control Area Operator (“CAOs”) to continue to act as CAOs, </w:t>
      </w:r>
      <w:r>
        <w:rPr>
          <w:i/>
        </w:rPr>
        <w:t>while allowing those CAOs to remain market participants</w:t>
      </w:r>
      <w:r>
        <w:rPr/>
        <w:t xml:space="preserve">. WPTF believes that such “self-tracking” is purely discriminatory.  Self-tracking systems never have an energy imbalance.   This issue permits a utility to self-supply everything in the balancing market and has the effect of reducing this valuable market to a very small scale.  While Order 2000 acknowledges that not all CAO functions need to be turned over to the RTO, the underlying presumption is that the CAOs must be independent of market participants.  Under a hierarchical control structure, “existing control centers are not replaced, but continue to operate, </w:t>
      </w:r>
      <w:r>
        <w:rPr>
          <w:i/>
        </w:rPr>
        <w:t>independent from market participants</w:t>
      </w:r>
      <w:r>
        <w:rPr/>
        <w:t xml:space="preserve">, as satellite control centers reporting to the RTO master control center.” (Order 2000, p.280).   The current WestConnect proposal does not meet this requirement.  </w:t>
      </w:r>
    </w:p>
    <w:p>
      <w:pPr>
        <w:pStyle w:val="Normal"/>
        <w:tabs>
          <w:tab w:val="clear" w:pos="720"/>
          <w:tab w:val="left" w:pos="6193" w:leader="none"/>
        </w:tabs>
        <w:ind w:start="720" w:end="0"/>
        <w:jc w:val="both"/>
        <w:rPr/>
      </w:pPr>
      <w:r>
        <w:rPr/>
        <w:tab/>
      </w:r>
    </w:p>
    <w:p>
      <w:pPr>
        <w:pStyle w:val="BlockText"/>
        <w:ind w:start="720" w:end="720"/>
        <w:jc w:val="both"/>
        <w:rPr>
          <w:i w:val="false"/>
          <w:i w:val="false"/>
          <w:iCs/>
        </w:rPr>
      </w:pPr>
      <w:r>
        <w:rPr>
          <w:i w:val="false"/>
          <w:iCs/>
        </w:rPr>
        <w:t>“</w:t>
      </w:r>
      <w:r>
        <w:rPr>
          <w:i w:val="false"/>
          <w:iCs/>
        </w:rPr>
        <w:t>We conclude that control area operators should face the same costs and price signals as other transmission customers and, therefore, also should be required to clear system imbalances through a real-time balancing market.  We believe that providing options for clearing imbalances that differ among customers would be unduly discriminatory.”  (Order 2000, p.425)</w:t>
      </w:r>
    </w:p>
    <w:p>
      <w:pPr>
        <w:pStyle w:val="Normal"/>
        <w:ind w:start="720" w:end="0"/>
        <w:jc w:val="both"/>
        <w:rPr>
          <w:i/>
          <w:i/>
          <w:iCs/>
        </w:rPr>
      </w:pPr>
      <w:r>
        <w:rPr>
          <w:i/>
          <w:iCs/>
        </w:rPr>
      </w:r>
    </w:p>
    <w:p>
      <w:pPr>
        <w:pStyle w:val="BodyText2"/>
        <w:jc w:val="both"/>
        <w:rPr>
          <w:b w:val="false"/>
          <w:bCs/>
        </w:rPr>
      </w:pPr>
      <w:r>
        <w:rPr>
          <w:b w:val="false"/>
          <w:bCs/>
        </w:rPr>
        <w:t>There is further precedent with regard to this issue.  The FERC stated in its order to the Midwest ISO that:</w:t>
      </w:r>
    </w:p>
    <w:p>
      <w:pPr>
        <w:pStyle w:val="Normal"/>
        <w:ind w:start="720" w:end="720"/>
        <w:jc w:val="both"/>
        <w:rPr>
          <w:iCs/>
        </w:rPr>
      </w:pPr>
      <w:r>
        <w:rPr>
          <w:iCs/>
        </w:rPr>
        <w:t xml:space="preserve">Unequal access to balancing options for individual customers can lead to unequal access in the quality of transmission service available to different customers.  This could be a significant problem for RTOs that serve some customers who operate control areas and other customers who do not.  Under current NERC regulations, control area operators have access to inadvertent energy accounts so they can pay back imbalances in kind and thereby avoid any penalties. In contrast, non-control area transmission customers do not have access to such accounts.  Instead, under the pro forma tariff, load-serving entities are subject to a deadband and then penalties if the magnitude of their imbalances falls outside the deadband.  Our concern, as we stated in our Midwest ISO order, is that "nondiscriminatory access would suffer" under such a system. </w:t>
      </w:r>
      <w:r>
        <w:rPr>
          <w:rStyle w:val="FootnoteCharacters"/>
          <w:rStyle w:val="FootnoteReference"/>
          <w:iCs/>
        </w:rPr>
        <w:footnoteReference w:id="11"/>
      </w:r>
      <w:r>
        <w:rPr>
          <w:iCs/>
        </w:rPr>
        <w:t xml:space="preserve"> Therefore, the Commission proposes to require that RTOs operate a real-time balancing market that would be available to all transmission customers, or ensure that this task is performed by another entity not affiliated with market participants. </w:t>
      </w:r>
      <w:r>
        <w:rPr>
          <w:rStyle w:val="FootnoteCharacters"/>
          <w:rStyle w:val="FootnoteReference"/>
          <w:iCs/>
        </w:rPr>
        <w:footnoteReference w:id="12"/>
      </w:r>
    </w:p>
    <w:p>
      <w:pPr>
        <w:pStyle w:val="BodyText2"/>
        <w:ind w:start="720" w:end="0"/>
        <w:jc w:val="both"/>
        <w:rPr>
          <w:iCs/>
        </w:rPr>
      </w:pPr>
      <w:r>
        <w:rPr>
          <w:iCs/>
        </w:rPr>
      </w:r>
    </w:p>
    <w:p>
      <w:pPr>
        <w:pStyle w:val="BodyText2"/>
        <w:jc w:val="both"/>
        <w:rPr/>
      </w:pPr>
      <w:r>
        <w:rPr>
          <w:b w:val="false"/>
          <w:bCs/>
        </w:rPr>
        <w:t xml:space="preserve">The FERC has spoken in plain English on this issue, and there can be NO denying the fact that control areas </w:t>
      </w:r>
      <w:r>
        <w:rPr>
          <w:b w:val="false"/>
          <w:bCs/>
          <w:u w:val="single"/>
        </w:rPr>
        <w:t>must</w:t>
      </w:r>
      <w:r>
        <w:rPr>
          <w:b w:val="false"/>
          <w:bCs/>
        </w:rPr>
        <w:t xml:space="preserve"> be reduced to entities that receive the secure operative plan from the RTO and only operate the system in case of emergencies.  For WestConnect to meet its objectives, the roles of the CAOs must be redefined in a properly proscribed hierarchical structure.  If control areas need more generation to balancing loads and resources in real-time then control areas should call upon WestConnect to provide the correct generators to the control areas for ancillary services needed in real-time, and not the other way around. </w:t>
      </w:r>
    </w:p>
    <w:p>
      <w:pPr>
        <w:pStyle w:val="BodyTextStyle"/>
        <w:spacing w:lineRule="auto" w:line="480"/>
        <w:ind w:firstLine="720" w:end="0"/>
        <w:jc w:val="both"/>
        <w:rPr/>
      </w:pPr>
      <w:r>
        <w:rPr/>
        <w:t>Finally, throughout the entire document the Applicants have included verbiage that WestConnect shall do various things in “consultation with” the Applicants.  It is unjust and unreasonable to give Applicants a superior right to influence Board and RTO decisions.  Moreover, in developing its proposal from the prior Desert Star effort, it is evident that in many of the documents, the Applicants deleted references to the Board needing to do things in “consultation with” market participants, advisory groups, or other committees.  Instead, the Applicants have created a superior right to be “consulted with” on critical issues, to the exclusion of everyone else.  This issue is exacerbated when one looks at the proposed stakeholder process.</w:t>
      </w:r>
    </w:p>
    <w:p>
      <w:pPr>
        <w:pStyle w:val="BodyTextStyle"/>
        <w:spacing w:lineRule="auto" w:line="480"/>
        <w:ind w:firstLine="720" w:end="0"/>
        <w:jc w:val="both"/>
        <w:rPr/>
      </w:pPr>
      <w:r>
        <w:rPr/>
        <w:t xml:space="preserve">The creation of an effective stakeholder process is problematical because Section 6.7 of the Limited Liability Company Agreement (“LLC Agreement”) provides for the establishment of the Stakeholder Advisory Committee (“SAC”) by the independent Board, </w:t>
      </w:r>
      <w:r>
        <w:rPr>
          <w:u w:val="single"/>
        </w:rPr>
        <w:t>after</w:t>
      </w:r>
      <w:r>
        <w:rPr/>
        <w:t xml:space="preserve"> the Board is chosen.  This delay effectively means that stakeholders will </w:t>
      </w:r>
      <w:r>
        <w:rPr>
          <w:u w:val="single"/>
        </w:rPr>
        <w:t>not</w:t>
      </w:r>
      <w:r>
        <w:rPr/>
        <w:t xml:space="preserve"> be involved in the development of the RTO.  Section 6.7(b) provides that the SAC may offer changes to the Board if approved by a two-thirds majority and also that no proxy voting will be allowed.  This appears to be inconsistent with </w:t>
      </w:r>
      <w:r>
        <w:rPr>
          <w:i/>
        </w:rPr>
        <w:t>GridFlorida</w:t>
      </w:r>
      <w:r>
        <w:rPr/>
        <w:t xml:space="preserve">, </w:t>
      </w:r>
      <w:r>
        <w:rPr>
          <w:rStyle w:val="FootnoteCharacters"/>
          <w:rStyle w:val="FootnoteReference"/>
        </w:rPr>
        <w:footnoteReference w:id="13"/>
      </w:r>
      <w:r>
        <w:rPr/>
        <w:t xml:space="preserve"> in that the SAC should be able to present and submit written recommendations and reports to the Board at any time.  </w:t>
      </w:r>
    </w:p>
    <w:p>
      <w:pPr>
        <w:pStyle w:val="BodyTextStyle"/>
        <w:spacing w:lineRule="auto" w:line="480"/>
        <w:ind w:firstLine="720" w:end="0"/>
        <w:jc w:val="both"/>
        <w:rPr/>
      </w:pPr>
      <w:r>
        <w:rPr/>
        <w:t>WPTF notes that in</w:t>
      </w:r>
      <w:r>
        <w:rPr>
          <w:b/>
        </w:rPr>
        <w:t xml:space="preserve"> </w:t>
      </w:r>
      <w:r>
        <w:rPr>
          <w:bCs/>
          <w:i/>
        </w:rPr>
        <w:t>Alliance Companies, et al</w:t>
      </w:r>
      <w:r>
        <w:rPr>
          <w:bCs/>
        </w:rPr>
        <w:t>, 94 FERC ¶ 61,070 (2001) the Commission said that:</w:t>
      </w:r>
    </w:p>
    <w:p>
      <w:pPr>
        <w:pStyle w:val="BodyTextIndent3"/>
        <w:ind w:start="1440" w:end="1440"/>
        <w:jc w:val="both"/>
        <w:rPr>
          <w:sz w:val="24"/>
        </w:rPr>
      </w:pPr>
      <w:r>
        <w:rPr>
          <w:sz w:val="24"/>
        </w:rPr>
        <w:t xml:space="preserve">The processes that stakeholders can use to communicate and consult with an RTO should be developed in consultation with stakeholders. If RTOs are to be responsive to the needs of the market, there must be a meaningful and efficient process for communication and consultation that serves not only the needs of the RTO, but also the needs of stakeholders. </w:t>
      </w:r>
    </w:p>
    <w:p>
      <w:pPr>
        <w:pStyle w:val="BodyTextStyle"/>
        <w:spacing w:lineRule="auto" w:line="480"/>
        <w:ind w:firstLine="720" w:end="0"/>
        <w:jc w:val="both"/>
        <w:rPr>
          <w:rFonts w:ascii="Times New Roman" w:hAnsi="Times New Roman" w:cs="Times New Roman"/>
          <w:szCs w:val="24"/>
        </w:rPr>
      </w:pPr>
      <w:r>
        <w:rPr>
          <w:rFonts w:cs="Times New Roman" w:ascii="Times New Roman" w:hAnsi="Times New Roman"/>
          <w:szCs w:val="24"/>
        </w:rPr>
        <w:t>In summary, the WestConnect proposal preserves excessive rights for the Applicants and delays the establishment of a meaningful stakeholder process.  The Commission should direct that the technical conference described in Section III above will require the Applicants to work with all stakeholders to develop an effective and independent governance structure and timely stakeholder process.  Alternatively, Applicants should be required to withdraw and restructure their petition to comply fully with all of the relevant governance provisions of Order 2000.</w:t>
      </w:r>
    </w:p>
    <w:p>
      <w:pPr>
        <w:pStyle w:val="Heading2"/>
        <w:numPr>
          <w:ilvl w:val="0"/>
          <w:numId w:val="0"/>
        </w:numPr>
        <w:ind w:hanging="0" w:start="1080" w:end="0"/>
        <w:rPr>
          <w:rFonts w:ascii="Times New Roman" w:hAnsi="Times New Roman" w:cs="Times New Roman"/>
          <w:szCs w:val="24"/>
        </w:rPr>
      </w:pPr>
      <w:r>
        <w:rPr>
          <w:rFonts w:cs="Times New Roman" w:ascii="Times New Roman" w:hAnsi="Times New Roman"/>
          <w:szCs w:val="24"/>
        </w:rPr>
      </w:r>
    </w:p>
    <w:p>
      <w:pPr>
        <w:pStyle w:val="Heading2"/>
        <w:numPr>
          <w:ilvl w:val="0"/>
          <w:numId w:val="4"/>
        </w:numPr>
        <w:spacing w:lineRule="auto" w:line="240" w:before="0" w:after="0"/>
        <w:ind w:hanging="270" w:start="1080" w:end="0"/>
        <w:jc w:val="center"/>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 xml:space="preserve">ALL RTO LOAD SHOULD BE REQUIRED TO TAKE SERVICE </w:t>
      </w:r>
    </w:p>
    <w:p>
      <w:pPr>
        <w:pStyle w:val="Heading2"/>
        <w:numPr>
          <w:ilvl w:val="0"/>
          <w:numId w:val="0"/>
        </w:numPr>
        <w:spacing w:lineRule="auto" w:line="240" w:before="0" w:after="240"/>
        <w:ind w:hanging="806" w:start="806" w:end="0"/>
        <w:jc w:val="center"/>
        <w:rPr>
          <w:rFonts w:ascii="Times New Roman" w:hAnsi="Times New Roman" w:cs="Times New Roman"/>
          <w:szCs w:val="24"/>
        </w:rPr>
      </w:pPr>
      <w:r>
        <w:rPr>
          <w:rFonts w:cs="Times New Roman" w:ascii="Times New Roman" w:hAnsi="Times New Roman"/>
          <w:szCs w:val="24"/>
        </w:rPr>
        <w:t>UNDER THE WESTCONNECT TARIFF</w:t>
      </w:r>
    </w:p>
    <w:p>
      <w:pPr>
        <w:pStyle w:val="BodyTextStyle"/>
        <w:spacing w:lineRule="auto" w:line="480"/>
        <w:ind w:firstLine="720" w:end="0"/>
        <w:jc w:val="both"/>
        <w:rPr/>
      </w:pPr>
      <w:r>
        <w:rPr/>
        <w:t>All load should take service under the RTO tariff.   This includes bundled native load and load under existing transmission contracts.  WPTF recognizes that Order 2000 provides that it is necessary to, “balance the desire to honor existing contractual arrangements with the need for a uniform approach for transmission pricing.”</w:t>
      </w:r>
      <w:r>
        <w:rPr>
          <w:rStyle w:val="FootnoteCharacters"/>
          <w:rStyle w:val="FootnoteReference"/>
          <w:rFonts w:cs="Times New Roman" w:ascii="Times New Roman" w:hAnsi="Times New Roman"/>
          <w:szCs w:val="24"/>
        </w:rPr>
        <w:footnoteReference w:id="14"/>
      </w:r>
      <w:r>
        <w:rPr/>
        <w:t xml:space="preserve">  However, the WestConnect proposal favors the Applicants over other transmission users, through its exclusion of a significant portion of their load from the tariff.  WPTF notes that Order 2000 also directs that RTOs are to have the </w:t>
      </w:r>
      <w:r>
        <w:rPr>
          <w:iCs/>
        </w:rPr>
        <w:t>sole authority</w:t>
      </w:r>
      <w:r>
        <w:rPr/>
        <w:t xml:space="preserve"> for the evaluation and approval of </w:t>
      </w:r>
      <w:r>
        <w:rPr>
          <w:iCs/>
        </w:rPr>
        <w:t>all requests</w:t>
      </w:r>
      <w:r>
        <w:rPr/>
        <w:t xml:space="preserve"> for transmission service. </w:t>
      </w:r>
      <w:r>
        <w:rPr>
          <w:rStyle w:val="FootnoteCharacters"/>
          <w:rStyle w:val="FootnoteReference"/>
        </w:rPr>
        <w:footnoteReference w:id="15"/>
      </w:r>
      <w:r>
        <w:rPr/>
        <w:t xml:space="preserve">  The Order provides that the “RTO must be the provider of transmission service in the strong sense of the term.”  The Commission rejected the proposal that the transmission owners’ open access tariffs that would be administered by the RTO.   </w:t>
      </w:r>
    </w:p>
    <w:p>
      <w:pPr>
        <w:pStyle w:val="BodyTextStyle"/>
        <w:spacing w:lineRule="auto" w:line="480"/>
        <w:ind w:firstLine="720" w:end="0"/>
        <w:jc w:val="both"/>
        <w:rPr>
          <w:rFonts w:ascii="Times New Roman" w:hAnsi="Times New Roman" w:cs="Times New Roman"/>
          <w:szCs w:val="24"/>
        </w:rPr>
      </w:pPr>
      <w:r>
        <w:rPr>
          <w:rFonts w:cs="Times New Roman" w:ascii="Times New Roman" w:hAnsi="Times New Roman"/>
          <w:szCs w:val="24"/>
        </w:rPr>
        <w:t xml:space="preserve">The exclusion of existing contracts from the terms of the OATT even includes the removal of their related capacity from the calculation of Operating Transfer Capability (“OTC”).  This, in turn, reduces the available FTRs by an equal amount.  This disparity should also be rectified by the Commission by requiring that all existing contracts be subject to the OATT, including the congestion management process.    </w:t>
      </w:r>
    </w:p>
    <w:p>
      <w:pPr>
        <w:pStyle w:val="Normal"/>
        <w:spacing w:lineRule="auto" w:line="480" w:before="0" w:after="120"/>
        <w:ind w:firstLine="720" w:end="0"/>
        <w:jc w:val="both"/>
        <w:rPr>
          <w:rFonts w:ascii="Times New Roman" w:hAnsi="Times New Roman" w:cs="Times New Roman"/>
          <w:szCs w:val="24"/>
        </w:rPr>
      </w:pPr>
      <w:r>
        <w:rPr/>
        <w:t xml:space="preserve">In conclusion, WestConnect seeks to perpetuate the “native-load” exemption by permitting the PTOs to maintain control over the grid in a manner that is not accountable under either the </w:t>
      </w:r>
      <w:r>
        <w:rPr>
          <w:i/>
        </w:rPr>
        <w:t>pro forma</w:t>
      </w:r>
      <w:r>
        <w:rPr/>
        <w:t xml:space="preserve"> OATT or the OASIS.  Unless all transmission uses within the Applicants’ respective service territories are operationally unbundled, the issues the Commission sought to address in Order No. 2000 will remain largely unresolved.  WestConnect offers the Commission to see through to fruition the creation of an RTO that fully complies with Order 2000.  As written, however, it fails to do so.  T</w:t>
      </w:r>
      <w:r>
        <w:rPr>
          <w:rFonts w:cs="Times New Roman" w:ascii="Times New Roman" w:hAnsi="Times New Roman"/>
          <w:szCs w:val="24"/>
        </w:rPr>
        <w:t xml:space="preserve">he Commission should require the Applicants to negotiate in good faith to convert their existing contracts to the WestConnect Tariff.  Alternatively, the Applicants should be required to convert Existing Contracts to the WestConnect Tariff over a specified and relatively brief time schedule. </w:t>
      </w:r>
      <w:r>
        <w:rPr>
          <w:rStyle w:val="FootnoteCharacters"/>
          <w:rStyle w:val="FootnoteReference"/>
          <w:rFonts w:cs="Times New Roman" w:ascii="Times New Roman" w:hAnsi="Times New Roman"/>
          <w:szCs w:val="24"/>
        </w:rPr>
        <w:footnoteReference w:id="16"/>
      </w:r>
    </w:p>
    <w:p>
      <w:pPr>
        <w:pStyle w:val="Heading2"/>
        <w:keepNext w:val="true"/>
        <w:numPr>
          <w:ilvl w:val="0"/>
          <w:numId w:val="4"/>
        </w:numPr>
        <w:tabs>
          <w:tab w:val="clear" w:pos="720"/>
        </w:tabs>
        <w:spacing w:before="260" w:after="240"/>
        <w:ind w:hanging="360" w:start="720" w:end="0"/>
        <w:jc w:val="center"/>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INTERCONNECTION PROCEDURES SHOULD BE DEFERRED UNTIL THE COMMISSION COMPLETES ITS GENERIC PROCEEDING ON THIS TOPIC.</w:t>
      </w:r>
    </w:p>
    <w:p>
      <w:pPr>
        <w:pStyle w:val="BodyTextStyle"/>
        <w:spacing w:lineRule="auto" w:line="480"/>
        <w:ind w:firstLine="720" w:end="0"/>
        <w:jc w:val="both"/>
        <w:rPr/>
      </w:pPr>
      <w:r>
        <w:rPr>
          <w:rFonts w:cs="Times New Roman" w:ascii="Times New Roman" w:hAnsi="Times New Roman"/>
          <w:szCs w:val="24"/>
        </w:rPr>
        <w:t>WPTF notes that the Appendix Q to the proposed OATT contains procedures for interconnection to Access Authority Facilities</w:t>
      </w:r>
      <w:r>
        <w:rPr>
          <w:rStyle w:val="FootnoteCharacters"/>
          <w:rStyle w:val="FootnoteReference"/>
          <w:rFonts w:cs="Times New Roman" w:ascii="Times New Roman" w:hAnsi="Times New Roman"/>
          <w:szCs w:val="24"/>
        </w:rPr>
        <w:footnoteReference w:id="17"/>
      </w:r>
      <w:r>
        <w:rPr>
          <w:rFonts w:cs="Times New Roman" w:ascii="Times New Roman" w:hAnsi="Times New Roman"/>
          <w:szCs w:val="24"/>
        </w:rPr>
        <w:t xml:space="preserve"> and a description of the interconnection agreement process.  WPTF recommends that these issues be deferred until such time as the Commission has concluded the generic proceeding on interconnection agreements and procedures. </w:t>
      </w:r>
      <w:r>
        <w:rPr>
          <w:rStyle w:val="FootnoteCharacters"/>
          <w:rStyle w:val="FootnoteReference"/>
          <w:rFonts w:cs="Times New Roman" w:ascii="Times New Roman" w:hAnsi="Times New Roman"/>
          <w:szCs w:val="24"/>
        </w:rPr>
        <w:footnoteReference w:id="18"/>
      </w:r>
      <w:r>
        <w:rPr>
          <w:rFonts w:cs="Times New Roman" w:ascii="Times New Roman" w:hAnsi="Times New Roman"/>
          <w:szCs w:val="24"/>
        </w:rPr>
        <w:t xml:space="preserve">  Since the same issues presented by Appendix Q will be addressed in the Generic Proceeding, this is both practical and timesaving.  It would not be productive for parties to engage in protracted wrangling over interconnection issues in this proceeding when the the Commission will be simultaneously adopting generic rules on this topic in the companion proceeding.  Moreover, there is Commission precedent for such an action, in the Midwest ISO proceeding. </w:t>
      </w:r>
      <w:r>
        <w:rPr>
          <w:rStyle w:val="FootnoteCharacters"/>
          <w:rStyle w:val="FootnoteReference"/>
          <w:rFonts w:cs="Times New Roman" w:ascii="Times New Roman" w:hAnsi="Times New Roman"/>
          <w:szCs w:val="24"/>
        </w:rPr>
        <w:footnoteReference w:id="19"/>
      </w:r>
      <w:r>
        <w:rPr>
          <w:rFonts w:cs="Times New Roman" w:ascii="Times New Roman" w:hAnsi="Times New Roman"/>
          <w:szCs w:val="24"/>
        </w:rPr>
        <w:t xml:space="preserve">  </w:t>
      </w:r>
    </w:p>
    <w:p>
      <w:pPr>
        <w:pStyle w:val="BodyTextStyle"/>
        <w:spacing w:lineRule="auto" w:line="480"/>
        <w:ind w:firstLine="720" w:end="0"/>
        <w:jc w:val="both"/>
        <w:rPr/>
      </w:pPr>
      <w:r>
        <w:rPr>
          <w:rFonts w:cs="Times New Roman" w:ascii="Times New Roman" w:hAnsi="Times New Roman"/>
          <w:szCs w:val="24"/>
        </w:rPr>
        <w:t xml:space="preserve">Appendix Q is also problematical because it continues the trend noted above of providing preferential treatment to the existing transmission owners.  The Appendix Q simply provides the Applicants too large a role and unnecessary authority over the interconnection process. </w:t>
      </w:r>
      <w:r>
        <w:rPr>
          <w:rFonts w:cs="Times New Roman" w:ascii="Times New Roman" w:hAnsi="Times New Roman"/>
        </w:rPr>
        <w:t>For example, the Applicants define technical interconnection standards, as well as the scope, methodology and assumptions used in interconnection studies.  Applicants perform the interconnection studies.  Applicants analyze interconnection service requests.</w:t>
      </w:r>
      <w:r>
        <w:rPr>
          <w:rFonts w:cs="Times New Roman" w:ascii="Times New Roman" w:hAnsi="Times New Roman"/>
          <w:sz w:val="20"/>
        </w:rPr>
        <w:t xml:space="preserve">  </w:t>
      </w:r>
      <w:r>
        <w:rPr>
          <w:rStyle w:val="FootnoteCharacters"/>
          <w:rStyle w:val="FootnoteReference"/>
          <w:rFonts w:cs="Times New Roman" w:ascii="Times New Roman" w:hAnsi="Times New Roman"/>
          <w:szCs w:val="24"/>
        </w:rPr>
        <w:footnoteReference w:id="20"/>
      </w:r>
      <w:r>
        <w:rPr>
          <w:rFonts w:cs="Times New Roman" w:ascii="Times New Roman" w:hAnsi="Times New Roman"/>
          <w:szCs w:val="24"/>
        </w:rPr>
        <w:t xml:space="preserve">  The potential for self-serving mischief is just too great.  Moreover, such action appears to conflict with both Order No. 2000 and subsequent orders.</w:t>
      </w:r>
      <w:r>
        <w:rPr>
          <w:rStyle w:val="FootnoteCharacters"/>
          <w:rStyle w:val="FootnoteReference"/>
          <w:rFonts w:cs="Times New Roman" w:ascii="Times New Roman" w:hAnsi="Times New Roman"/>
          <w:szCs w:val="24"/>
        </w:rPr>
        <w:footnoteReference w:id="21"/>
      </w:r>
      <w:r>
        <w:rPr>
          <w:rFonts w:cs="Times New Roman" w:ascii="Times New Roman" w:hAnsi="Times New Roman"/>
          <w:szCs w:val="24"/>
        </w:rPr>
        <w:t xml:space="preserve">   </w:t>
      </w:r>
    </w:p>
    <w:p>
      <w:pPr>
        <w:pStyle w:val="BodyTextStyle"/>
        <w:spacing w:lineRule="auto" w:line="480"/>
        <w:ind w:firstLine="720" w:end="0"/>
        <w:jc w:val="both"/>
        <w:rPr>
          <w:rFonts w:ascii="Times New Roman" w:hAnsi="Times New Roman" w:cs="Times New Roman"/>
          <w:szCs w:val="24"/>
        </w:rPr>
      </w:pPr>
      <w:r>
        <w:rPr>
          <w:rFonts w:cs="Times New Roman" w:ascii="Times New Roman" w:hAnsi="Times New Roman"/>
          <w:szCs w:val="24"/>
        </w:rPr>
        <w:t xml:space="preserve">The basic problem with having the transmission owners play too great a role in the interconnection process is that it increases both the opportunity for bias, as well as the perception of bias.  Even if bias does not occur, its potential occurrence will serve to deter new generators from seeking to locate and interconnect to WestConnect.  Effectively, it creates barriers to entry that are wholly inappropriate and unnecessary.  WPTF therefore recommends that this issue be deferred until completion of the generic proceeding. At that time, the presumably more independent WestConnect should assume the various responsibilities delegated to the Applicants by Appendix Q.  </w:t>
      </w:r>
    </w:p>
    <w:p>
      <w:pPr>
        <w:pStyle w:val="BodyTextStyle"/>
        <w:spacing w:lineRule="auto" w:line="480"/>
        <w:ind w:firstLine="720" w:end="0"/>
        <w:jc w:val="both"/>
        <w:rPr>
          <w:rFonts w:ascii="Times New Roman" w:hAnsi="Times New Roman" w:cs="Times New Roman"/>
          <w:szCs w:val="24"/>
        </w:rPr>
      </w:pPr>
      <w:r>
        <w:rPr>
          <w:rFonts w:cs="Times New Roman" w:ascii="Times New Roman" w:hAnsi="Times New Roman"/>
          <w:szCs w:val="24"/>
        </w:rPr>
      </w:r>
    </w:p>
    <w:p>
      <w:pPr>
        <w:pStyle w:val="Heading1"/>
        <w:numPr>
          <w:ilvl w:val="0"/>
          <w:numId w:val="4"/>
        </w:numPr>
        <w:spacing w:before="120" w:after="240"/>
        <w:jc w:val="center"/>
        <w:rPr>
          <w:rFonts w:ascii="Times New Roman" w:hAnsi="Times New Roman" w:cs="Times New Roman"/>
          <w:b/>
          <w:bCs/>
          <w:szCs w:val="24"/>
        </w:rPr>
      </w:pPr>
      <w:r>
        <w:rPr>
          <w:rFonts w:cs="Times New Roman" w:ascii="Times New Roman" w:hAnsi="Times New Roman"/>
          <w:b/>
          <w:bCs/>
        </w:rPr>
        <w:t>THERE ARE CERTAIN RTO FUNCTIONS THAT AN ENTITY SUCH AS WESTCONNECT SHOULD NOT PERFORM.  </w:t>
      </w:r>
    </w:p>
    <w:p>
      <w:pPr>
        <w:pStyle w:val="Heading1"/>
        <w:numPr>
          <w:ilvl w:val="0"/>
          <w:numId w:val="0"/>
        </w:numPr>
        <w:spacing w:lineRule="auto" w:line="480" w:before="0" w:after="0"/>
        <w:ind w:firstLine="720" w:start="0" w:end="0"/>
        <w:jc w:val="both"/>
        <w:rPr>
          <w:rFonts w:ascii="Times New Roman" w:hAnsi="Times New Roman" w:cs="Times New Roman"/>
          <w:b/>
          <w:bCs/>
        </w:rPr>
      </w:pPr>
      <w:r>
        <w:rPr/>
        <w:t>In general, WPTF believes that for-profit Transcos have an inherent incentive to maximize transmission revenue.  As a result, there are certain RTO functions that a for-profit entity such as WestConnect should not perform.   Market confidence depends in great part upon certainty that key market functions will be performed by an entity that is truly independent. </w:t>
      </w:r>
    </w:p>
    <w:p>
      <w:pPr>
        <w:pStyle w:val="Heading1"/>
        <w:numPr>
          <w:ilvl w:val="0"/>
          <w:numId w:val="0"/>
        </w:numPr>
        <w:spacing w:lineRule="auto" w:line="480" w:before="0" w:after="0"/>
        <w:ind w:firstLine="720" w:start="0" w:end="0"/>
        <w:jc w:val="both"/>
        <w:rPr/>
      </w:pPr>
      <w:r>
        <w:rPr>
          <w:rFonts w:cs="Times New Roman" w:ascii="Times New Roman" w:hAnsi="Times New Roman"/>
        </w:rPr>
        <w:t>For example,</w:t>
      </w:r>
      <w:r>
        <w:rPr>
          <w:rFonts w:cs="Times New Roman" w:ascii="Times New Roman" w:hAnsi="Times New Roman"/>
          <w:b/>
          <w:bCs/>
        </w:rPr>
        <w:t xml:space="preserve"> </w:t>
      </w:r>
      <w:r>
        <w:rPr>
          <w:bCs/>
        </w:rPr>
        <w:t>The Market Monitoring Unit (“MMU”) should not be inside and part of a for-profit RTO.  It is unlikely that a for-profit entity could be unbiased and turn itself in when it misbehaves.  The MMU should be independent of the RTO, file reports to the RTO and the FERC.  Furthermore, the MMU cannot have FERC-like powers to demand sensitive information from market participants and institute penalties; only the FERC has the power to determine what is reasonable and just.  Once again the potential for mischief and the perception of potential bias is enhanced when self-policing is the rule.  This issue also arises with regard to expansion plans.</w:t>
      </w:r>
    </w:p>
    <w:p>
      <w:pPr>
        <w:pStyle w:val="Heading1"/>
        <w:numPr>
          <w:ilvl w:val="0"/>
          <w:numId w:val="0"/>
        </w:numPr>
        <w:spacing w:lineRule="auto" w:line="480" w:before="0" w:after="0"/>
        <w:ind w:firstLine="720" w:start="0" w:end="0"/>
        <w:jc w:val="both"/>
        <w:rPr/>
      </w:pPr>
      <w:r>
        <w:rPr/>
        <w:t xml:space="preserve">WPTF firmly believes that the market (wires, existing generation, new generation, distributed generation, and DSM) should determine the expansion solutions.  While open to stakeholders, the current proposal provides that the WestConnect Transmission Planning Working Group is to be controlled by WestConnect.  WestConnect also is responsible for the expansion process through the creation of the Regional Transmission Expansion Plan.  This plan is submitted to the WestConnect Board for approval.  </w:t>
      </w:r>
    </w:p>
    <w:p>
      <w:pPr>
        <w:pStyle w:val="Heading1"/>
        <w:numPr>
          <w:ilvl w:val="0"/>
          <w:numId w:val="0"/>
        </w:numPr>
        <w:spacing w:lineRule="auto" w:line="480" w:before="0" w:after="0"/>
        <w:ind w:firstLine="720" w:start="0" w:end="0"/>
        <w:jc w:val="both"/>
        <w:rPr>
          <w:bCs/>
        </w:rPr>
      </w:pPr>
      <w:r>
        <w:rPr/>
        <w:t>It is very difficult for a for-profit Transco such as WestConnect to remain impartial in evaluating alternatives to transmission such as new generating units.  WPTF believes that the RTO should be a facilitator, but not necessarily a builder.   The working group must have checks and balances to keep the “for-profit” Transco from manipulating the process.  The PTOs should not have the right of first refusal to construct and own a project proposed by a third party.  This gives them the extraordinary right of capturing valuable projects for themselves.   A PTO can, however, be the provider of last resort.</w:t>
      </w:r>
    </w:p>
    <w:p>
      <w:pPr>
        <w:pStyle w:val="BodyTextIndent2"/>
        <w:ind w:start="0" w:end="0"/>
        <w:rPr>
          <w:b/>
          <w:bCs/>
          <w:sz w:val="24"/>
        </w:rPr>
      </w:pPr>
      <w:r>
        <w:rPr>
          <w:b/>
          <w:bCs/>
          <w:sz w:val="24"/>
        </w:rPr>
      </w:r>
    </w:p>
    <w:p>
      <w:pPr>
        <w:pStyle w:val="Normal"/>
        <w:rPr>
          <w:b/>
          <w:bCs/>
          <w:sz w:val="24"/>
          <w:u w:val="single"/>
        </w:rPr>
      </w:pPr>
      <w:r>
        <w:rPr>
          <w:b/>
          <w:bCs/>
          <w:sz w:val="24"/>
          <w:u w:val="single"/>
        </w:rPr>
      </w:r>
    </w:p>
    <w:p>
      <w:pPr>
        <w:pStyle w:val="Heading1"/>
        <w:numPr>
          <w:ilvl w:val="0"/>
          <w:numId w:val="4"/>
        </w:numPr>
        <w:jc w:val="center"/>
        <w:rPr>
          <w:rFonts w:ascii="Times New Roman" w:hAnsi="Times New Roman" w:cs="Times New Roman"/>
          <w:b/>
          <w:szCs w:val="24"/>
        </w:rPr>
      </w:pPr>
      <w:r>
        <w:rPr>
          <w:rFonts w:cs="Times New Roman" w:ascii="Times New Roman" w:hAnsi="Times New Roman"/>
          <w:b/>
          <w:szCs w:val="24"/>
        </w:rPr>
        <w:t>CONCLUSION</w:t>
      </w:r>
    </w:p>
    <w:p>
      <w:pPr>
        <w:pStyle w:val="BodyTextStyle"/>
        <w:rPr>
          <w:rFonts w:ascii="Times New Roman" w:hAnsi="Times New Roman" w:cs="Times New Roman"/>
          <w:szCs w:val="24"/>
        </w:rPr>
      </w:pPr>
      <w:r>
        <w:rPr>
          <w:rFonts w:cs="Times New Roman" w:ascii="Times New Roman" w:hAnsi="Times New Roman"/>
          <w:szCs w:val="24"/>
        </w:rPr>
        <w:t>WHEREFORE, the Commission should rule on the WestConnect filing in a manner consistent with WPTF’s comments.</w:t>
      </w:r>
    </w:p>
    <w:p>
      <w:pPr>
        <w:pStyle w:val="Normal"/>
        <w:rPr>
          <w:rFonts w:ascii="Times New Roman" w:hAnsi="Times New Roman" w:cs="Times New Roman"/>
          <w:szCs w:val="24"/>
        </w:rPr>
      </w:pPr>
      <w:r>
        <w:rPr>
          <w:rFonts w:cs="Times New Roman" w:ascii="Times New Roman" w:hAnsi="Times New Roman"/>
          <w:szCs w:val="24"/>
        </w:rPr>
      </w:r>
    </w:p>
    <w:p>
      <w:pPr>
        <w:pStyle w:val="Normal"/>
        <w:tabs>
          <w:tab w:val="clear" w:pos="720"/>
          <w:tab w:val="left" w:pos="-720" w:leader="none"/>
        </w:tabs>
        <w:suppressAutoHyphens w:val="true"/>
        <w:ind w:start="1509" w:end="0"/>
        <w:jc w:val="both"/>
        <w:rPr>
          <w:rFonts w:ascii="Times New Roman" w:hAnsi="Times New Roman" w:cs="Times New Roman"/>
          <w:spacing w:val="-3"/>
        </w:rPr>
      </w:pPr>
      <w:r>
        <w:rPr>
          <w:rFonts w:cs="Times New Roman" w:ascii="Times New Roman" w:hAnsi="Times New Roman"/>
          <w:spacing w:val="-3"/>
        </w:rPr>
        <w:tab/>
        <w:tab/>
        <w:tab/>
        <w:tab/>
        <w:t>Respectfully submitted,</w:t>
      </w:r>
    </w:p>
    <w:p>
      <w:pPr>
        <w:pStyle w:val="Normal"/>
        <w:tabs>
          <w:tab w:val="clear" w:pos="720"/>
          <w:tab w:val="left" w:pos="-720" w:leader="none"/>
        </w:tabs>
        <w:suppressAutoHyphens w:val="true"/>
        <w:ind w:start="1509"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Daniel W. Douglass</w:t>
        <w:tab/>
        <w:tab/>
        <w:tab/>
        <w:tab/>
        <w:tab/>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________________________________</w:t>
      </w:r>
    </w:p>
    <w:p>
      <w:pPr>
        <w:pStyle w:val="Normal"/>
        <w:ind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br/>
        <w:t>Law Offices of Daniel W. Douglass</w:t>
      </w:r>
    </w:p>
    <w:p>
      <w:pPr>
        <w:pStyle w:val="Normal"/>
        <w:ind w:start="4320" w:end="0"/>
        <w:rPr>
          <w:rFonts w:ascii="Times New Roman" w:hAnsi="Times New Roman" w:cs="Times New Roman"/>
        </w:rPr>
      </w:pPr>
      <w:r>
        <w:rPr>
          <w:rFonts w:cs="Times New Roman" w:ascii="Times New Roman" w:hAnsi="Times New Roman"/>
        </w:rP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rFonts w:ascii="Times New Roman" w:hAnsi="Times New Roman" w:cs="Times New Roman"/>
          <w:spacing w:val="-3"/>
        </w:rPr>
      </w:pPr>
      <w:r>
        <w:rPr>
          <w:rFonts w:cs="Times New Roman" w:ascii="Times New Roman" w:hAnsi="Times New Roman"/>
        </w:rPr>
        <w:t>E-Mail:  douglass@energyattorney.com</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Attorneys for the</w:t>
      </w:r>
    </w:p>
    <w:p>
      <w:pPr>
        <w:pStyle w:val="Normal"/>
        <w:tabs>
          <w:tab w:val="clear" w:pos="720"/>
          <w:tab w:val="left" w:pos="-720" w:leader="none"/>
        </w:tabs>
        <w:suppressAutoHyphens w:val="true"/>
        <w:ind w:end="-360"/>
        <w:jc w:val="both"/>
        <w:rPr/>
      </w:pPr>
      <w:r>
        <w:rPr>
          <w:rFonts w:cs="Times New Roman" w:ascii="Times New Roman" w:hAnsi="Times New Roman"/>
          <w:spacing w:val="-3"/>
        </w:rPr>
        <w:tab/>
        <w:tab/>
        <w:tab/>
        <w:tab/>
        <w:tab/>
        <w:tab/>
      </w:r>
      <w:r>
        <w:rPr>
          <w:b/>
          <w:bCs/>
        </w:rPr>
        <w:t>WESTERN POWER TRADING FORUM</w:t>
      </w:r>
    </w:p>
    <w:p>
      <w:pPr>
        <w:pStyle w:val="Normal"/>
        <w:tabs>
          <w:tab w:val="clear" w:pos="720"/>
          <w:tab w:val="left" w:pos="-1440" w:leader="none"/>
          <w:tab w:val="left" w:pos="-720" w:leader="none"/>
        </w:tabs>
        <w:rPr>
          <w:rFonts w:ascii="Times New Roman" w:hAnsi="Times New Roman" w:cs="Times New Roman"/>
          <w:spacing w:val="-3"/>
        </w:rPr>
      </w:pPr>
      <w:r>
        <w:rPr>
          <w:rFonts w:cs="Times New Roman" w:ascii="Times New Roman" w:hAnsi="Times New Roman"/>
          <w:b/>
          <w:bCs/>
          <w:spacing w:val="-3"/>
        </w:rPr>
        <w:tab/>
        <w:tab/>
        <w:tab/>
        <w:tab/>
        <w:tab/>
        <w:tab/>
      </w:r>
    </w:p>
    <w:p>
      <w:pPr>
        <w:pStyle w:val="Header"/>
        <w:tabs>
          <w:tab w:val="clear" w:pos="4320"/>
          <w:tab w:val="clear" w:pos="8640"/>
        </w:tabs>
        <w:spacing w:before="0" w:after="240"/>
        <w:rPr>
          <w:rFonts w:ascii="Times New Roman" w:hAnsi="Times New Roman" w:cs="Times New Roman"/>
          <w:spacing w:val="-3"/>
        </w:rPr>
      </w:pPr>
      <w:r>
        <w:rPr>
          <w:rFonts w:cs="Times New Roman" w:ascii="Times New Roman" w:hAnsi="Times New Roman"/>
          <w:spacing w:val="-3"/>
        </w:rPr>
      </w:r>
    </w:p>
    <w:p>
      <w:pPr>
        <w:pStyle w:val="Normal"/>
        <w:spacing w:before="0" w:after="240"/>
        <w:rPr>
          <w:rFonts w:ascii="Times New Roman" w:hAnsi="Times New Roman" w:cs="Times New Roman"/>
        </w:rPr>
      </w:pPr>
      <w:r>
        <w:rPr>
          <w:rFonts w:cs="Times New Roman" w:ascii="Times New Roman" w:hAnsi="Times New Roman"/>
        </w:rPr>
        <w:t>November 7, 2001</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pStyle w:val="TitleStyle"/>
        <w:spacing w:lineRule="exact" w:line="260"/>
        <w:rPr>
          <w:rFonts w:ascii="Times New Roman" w:hAnsi="Times New Roman" w:cs="Times New Roman"/>
          <w:szCs w:val="24"/>
          <w:u w:val="single"/>
        </w:rPr>
      </w:pPr>
      <w:r>
        <w:rPr>
          <w:rFonts w:cs="Times New Roman" w:ascii="Times New Roman" w:hAnsi="Times New Roman"/>
          <w:szCs w:val="24"/>
          <w:u w:val="single"/>
        </w:rPr>
      </w:r>
    </w:p>
    <w:p>
      <w:pPr>
        <w:pStyle w:val="TitleStyle"/>
        <w:spacing w:lineRule="exact" w:line="260"/>
        <w:rPr>
          <w:rFonts w:ascii="Times New Roman" w:hAnsi="Times New Roman" w:cs="Times New Roman"/>
          <w:szCs w:val="24"/>
          <w:u w:val="single"/>
        </w:rPr>
      </w:pPr>
      <w:r>
        <w:rPr>
          <w:rFonts w:cs="Times New Roman" w:ascii="Times New Roman" w:hAnsi="Times New Roman"/>
          <w:szCs w:val="24"/>
          <w:u w:val="single"/>
        </w:rPr>
        <w:t>CErtificate of service</w:t>
      </w:r>
    </w:p>
    <w:p>
      <w:pPr>
        <w:pStyle w:val="TitleStyle"/>
        <w:rPr>
          <w:rFonts w:ascii="Times New Roman" w:hAnsi="Times New Roman" w:cs="Times New Roman"/>
          <w:szCs w:val="24"/>
          <w:u w:val="single"/>
        </w:rPr>
      </w:pPr>
      <w:r>
        <w:rPr>
          <w:rFonts w:cs="Times New Roman" w:ascii="Times New Roman" w:hAnsi="Times New Roman"/>
          <w:szCs w:val="24"/>
          <w:u w:val="single"/>
        </w:rPr>
      </w:r>
    </w:p>
    <w:p>
      <w:pPr>
        <w:pStyle w:val="BodyTextStyle"/>
        <w:rPr>
          <w:rFonts w:ascii="Times New Roman" w:hAnsi="Times New Roman" w:cs="Times New Roman"/>
          <w:szCs w:val="24"/>
        </w:rPr>
      </w:pPr>
      <w:r>
        <w:rPr>
          <w:rFonts w:cs="Times New Roman" w:ascii="Times New Roman" w:hAnsi="Times New Roman"/>
          <w:szCs w:val="24"/>
        </w:rPr>
        <w:t>I hereby certify that I have served a copy of the foregoing document by first class United States mail, postage prepaid, upon each person designated on the official service list compiled by the Secretary in this proceeding.</w:t>
      </w:r>
    </w:p>
    <w:p>
      <w:pPr>
        <w:pStyle w:val="BodyTextStyle"/>
        <w:rPr/>
      </w:pPr>
      <w:r>
        <w:rPr>
          <w:rFonts w:cs="Times New Roman" w:ascii="Times New Roman" w:hAnsi="Times New Roman"/>
          <w:caps/>
          <w:szCs w:val="24"/>
        </w:rPr>
        <w:t>d</w:t>
      </w:r>
      <w:r>
        <w:rPr>
          <w:rFonts w:cs="Times New Roman" w:ascii="Times New Roman" w:hAnsi="Times New Roman"/>
          <w:szCs w:val="24"/>
        </w:rPr>
        <w:t>ated at Woodland Hills, CA this 15</w:t>
      </w:r>
      <w:r>
        <w:rPr>
          <w:rFonts w:cs="Times New Roman" w:ascii="Times New Roman" w:hAnsi="Times New Roman"/>
          <w:szCs w:val="24"/>
          <w:vertAlign w:val="superscript"/>
        </w:rPr>
        <w:t>th</w:t>
      </w:r>
      <w:r>
        <w:rPr>
          <w:rFonts w:cs="Times New Roman" w:ascii="Times New Roman" w:hAnsi="Times New Roman"/>
          <w:szCs w:val="24"/>
        </w:rPr>
        <w:t xml:space="preserve"> day of November, 2001.</w:t>
      </w:r>
    </w:p>
    <w:p>
      <w:pPr>
        <w:pStyle w:val="Normal"/>
        <w:rPr>
          <w:rFonts w:ascii="Times New Roman" w:hAnsi="Times New Roman" w:cs="Times New Roman"/>
          <w:szCs w:val="24"/>
        </w:rPr>
      </w:pPr>
      <w:r>
        <w:rPr>
          <w:rFonts w:cs="Times New Roman" w:ascii="Times New Roman" w:hAnsi="Times New Roman"/>
          <w:szCs w:val="24"/>
        </w:rPr>
      </w:r>
    </w:p>
    <w:p>
      <w:pPr>
        <w:pStyle w:val="SignatureBlock"/>
        <w:spacing w:lineRule="auto" w:line="240"/>
        <w:rPr>
          <w:rFonts w:ascii="Times New Roman" w:hAnsi="Times New Roman" w:cs="Times New Roman"/>
          <w:szCs w:val="24"/>
        </w:rPr>
      </w:pPr>
      <w:r>
        <w:rPr>
          <w:rFonts w:cs="Times New Roman" w:ascii="Times New Roman" w:hAnsi="Times New Roman"/>
          <w:szCs w:val="24"/>
        </w:rPr>
      </w:r>
    </w:p>
    <w:p>
      <w:pPr>
        <w:pStyle w:val="SignatureBlock"/>
        <w:spacing w:lineRule="auto" w:line="240"/>
        <w:rPr>
          <w:rFonts w:ascii="Times New Roman" w:hAnsi="Times New Roman" w:cs="Times New Roman"/>
          <w:szCs w:val="24"/>
        </w:rPr>
      </w:pPr>
      <w:r>
        <w:rPr>
          <w:rFonts w:cs="Times New Roman" w:ascii="Times New Roman" w:hAnsi="Times New Roman"/>
          <w:szCs w:val="24"/>
        </w:rPr>
        <w:t>___________________________________</w:t>
      </w:r>
    </w:p>
    <w:p>
      <w:pPr>
        <w:pStyle w:val="SignatureBlock"/>
        <w:spacing w:lineRule="auto" w:line="240"/>
        <w:ind w:firstLine="360" w:start="5400" w:end="0"/>
        <w:rPr>
          <w:rFonts w:ascii="Times New Roman" w:hAnsi="Times New Roman" w:cs="Times New Roman"/>
          <w:szCs w:val="24"/>
        </w:rPr>
      </w:pPr>
      <w:r>
        <w:rPr>
          <w:rFonts w:cs="Times New Roman" w:ascii="Times New Roman" w:hAnsi="Times New Roman"/>
          <w:szCs w:val="24"/>
        </w:rPr>
        <w:t>Michelle Dangott</w:t>
      </w:r>
    </w:p>
    <w:p>
      <w:pPr>
        <w:pStyle w:val="BodyTextStyle"/>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1367345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4</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TB1T04!.DOC</w:t>
    </w:r>
    <w:r>
      <w:rPr>
        <w:sz w:val="12"/>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1367345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4</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TB1T04!.DOC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R</w:t>
      </w:r>
      <w:r>
        <w:rPr>
          <w:rFonts w:cs="Times New Roman" w:ascii="Times New Roman" w:hAnsi="Times New Roman"/>
          <w:i/>
          <w:sz w:val="20"/>
        </w:rPr>
        <w:t>egional Transmission Organizations</w:t>
      </w:r>
      <w:r>
        <w:rPr>
          <w:rFonts w:cs="Times New Roman" w:ascii="Times New Roman" w:hAnsi="Times New Roman"/>
          <w:sz w:val="20"/>
        </w:rPr>
        <w:t xml:space="preserve">, Order No. 2000, Fed. Reg. 809 (January 6, 2000), FERC Stats. &amp; Regs. ¶ 31,089 (1999), </w:t>
      </w:r>
      <w:r>
        <w:rPr>
          <w:rFonts w:cs="Times New Roman" w:ascii="Times New Roman" w:hAnsi="Times New Roman"/>
          <w:i/>
          <w:sz w:val="20"/>
        </w:rPr>
        <w:t>order on reh’g</w:t>
      </w:r>
      <w:r>
        <w:rPr>
          <w:rFonts w:cs="Times New Roman" w:ascii="Times New Roman" w:hAnsi="Times New Roman"/>
          <w:sz w:val="20"/>
        </w:rPr>
        <w:t>, Order No. 2000-A, 65 Fed. Reg. 12,088 (March 8, 2000), FERC Stats. &amp; Regs. ¶ 31,092 (2000).</w:t>
      </w:r>
    </w:p>
  </w:footnote>
  <w:footnote w:id="3">
    <w:p>
      <w:pPr>
        <w:pStyle w:val="FootnoteText"/>
        <w:spacing w:before="0" w:after="120"/>
        <w:rPr/>
      </w:pPr>
      <w:r>
        <w:rPr>
          <w:rStyle w:val="FootnoteCharacters"/>
        </w:rPr>
        <w:footnoteRef/>
      </w:r>
      <w:r>
        <w:rPr>
          <w:rFonts w:cs="Times New Roman" w:ascii="Times New Roman" w:hAnsi="Times New Roman"/>
          <w:sz w:val="24"/>
          <w:vertAlign w:val="superscript"/>
        </w:rPr>
        <w:t xml:space="preserve"> </w:t>
      </w:r>
      <w:r>
        <w:rPr>
          <w:rFonts w:cs="Times New Roman" w:ascii="Times New Roman" w:hAnsi="Times New Roman"/>
          <w:sz w:val="20"/>
        </w:rPr>
        <w:t>97 FERC ¶ 61,146 (2001).</w:t>
      </w:r>
      <w:r>
        <w:rPr>
          <w:rFonts w:cs="Times New Roman" w:ascii="Times New Roman" w:hAnsi="Times New Roman"/>
          <w:sz w:val="24"/>
        </w:rPr>
        <w:t xml:space="preserve"> </w:t>
      </w:r>
    </w:p>
  </w:footnote>
  <w:footnote w:id="4">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i/>
          <w:sz w:val="20"/>
        </w:rPr>
        <w:t>Electricity Market Design and Structure</w:t>
      </w:r>
      <w:r>
        <w:rPr>
          <w:rFonts w:cs="Times New Roman" w:ascii="Times New Roman" w:hAnsi="Times New Roman"/>
          <w:sz w:val="20"/>
        </w:rPr>
        <w:t xml:space="preserve">, Docket No. RM01-12-000, Order Providing Guidance on Continued Processing of RTO Filings (Issued November 7, 2001), </w:t>
      </w:r>
      <w:r>
        <w:rPr>
          <w:rFonts w:cs="Times New Roman" w:ascii="Times New Roman" w:hAnsi="Times New Roman"/>
          <w:i/>
          <w:sz w:val="20"/>
        </w:rPr>
        <w:t>slip op.</w:t>
      </w:r>
      <w:r>
        <w:rPr>
          <w:rFonts w:cs="Times New Roman" w:ascii="Times New Roman" w:hAnsi="Times New Roman"/>
          <w:sz w:val="20"/>
        </w:rPr>
        <w:t xml:space="preserve"> at 2-3.</w:t>
      </w:r>
    </w:p>
  </w:footnote>
  <w:footnote w:id="5">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TCA § 5.1.</w:t>
      </w:r>
    </w:p>
  </w:footnote>
  <w:footnote w:id="6">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TCA § 5.2.1.</w:t>
      </w:r>
    </w:p>
  </w:footnote>
  <w:footnote w:id="7">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TCA § 10.1.</w:t>
      </w:r>
    </w:p>
  </w:footnote>
  <w:footnote w:id="8">
    <w:p>
      <w:pPr>
        <w:pStyle w:val="BodyTextStyle"/>
        <w:spacing w:lineRule="auto" w:line="240"/>
        <w:ind w:hanging="0" w:end="0"/>
        <w:jc w:val="both"/>
        <w:rPr/>
      </w:pPr>
      <w:r>
        <w:rPr>
          <w:rStyle w:val="FootnoteCharacters"/>
        </w:rPr>
        <w:footnoteRef/>
      </w:r>
      <w:r>
        <w:rPr/>
        <w:t xml:space="preserve"> </w:t>
      </w:r>
      <w:r>
        <w:rPr>
          <w:rFonts w:cs="Times New Roman" w:ascii="Times New Roman" w:hAnsi="Times New Roman"/>
          <w:sz w:val="20"/>
        </w:rPr>
        <w:t>See, for example, Section 4.6 of the TCA, which provides that Section 6.2 of the TCA (which contains the TCA’s primary grant of authority to the Applicants) prevails over any other WestConnect document.</w:t>
      </w:r>
    </w:p>
  </w:footnote>
  <w:footnote w:id="9">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TCA § 4.1.1.</w:t>
      </w:r>
    </w:p>
  </w:footnote>
  <w:footnote w:id="10">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TCA § 6.2.13.</w:t>
      </w:r>
    </w:p>
  </w:footnote>
  <w:footnote w:id="11">
    <w:p>
      <w:pPr>
        <w:pStyle w:val="FootnoteText"/>
        <w:spacing w:lineRule="auto" w:line="240" w:before="0" w:after="0"/>
        <w:rPr/>
      </w:pPr>
      <w:r>
        <w:rPr>
          <w:rStyle w:val="FootnoteCharacters"/>
        </w:rPr>
        <w:footnoteRef/>
      </w:r>
      <w:r>
        <w:rPr/>
        <w:t xml:space="preserve"> </w:t>
      </w:r>
      <w:r>
        <w:rPr>
          <w:rFonts w:cs="Times New Roman" w:ascii="Times New Roman" w:hAnsi="Times New Roman"/>
          <w:sz w:val="20"/>
        </w:rPr>
        <w:t>Midwest ISO, 84 FERC at 62,155.</w:t>
      </w:r>
    </w:p>
  </w:footnote>
  <w:footnote w:id="12">
    <w:p>
      <w:pPr>
        <w:pStyle w:val="FootnoteText"/>
        <w:spacing w:lineRule="auto" w:line="240" w:before="0" w:after="0"/>
        <w:jc w:val="both"/>
        <w:rPr/>
      </w:pPr>
      <w:r>
        <w:rPr>
          <w:rStyle w:val="FootnoteCharacters"/>
        </w:rPr>
        <w:footnoteRef/>
      </w:r>
      <w:r>
        <w:rPr/>
        <w:t xml:space="preserve"> </w:t>
      </w:r>
      <w:r>
        <w:rPr>
          <w:rFonts w:cs="Times New Roman" w:ascii="Times New Roman" w:hAnsi="Times New Roman"/>
          <w:sz w:val="20"/>
        </w:rPr>
        <w:t xml:space="preserve">FERC has already approved such markets for four ISOs. </w:t>
      </w:r>
      <w:r>
        <w:rPr>
          <w:rFonts w:cs="Times New Roman" w:ascii="Times New Roman" w:hAnsi="Times New Roman"/>
          <w:sz w:val="20"/>
          <w:u w:val="single"/>
        </w:rPr>
        <w:t>See</w:t>
      </w:r>
      <w:r>
        <w:rPr>
          <w:rFonts w:cs="Times New Roman" w:ascii="Times New Roman" w:hAnsi="Times New Roman"/>
          <w:sz w:val="20"/>
        </w:rPr>
        <w:t xml:space="preserve">, </w:t>
      </w:r>
      <w:r>
        <w:rPr>
          <w:rFonts w:cs="Times New Roman" w:ascii="Times New Roman" w:hAnsi="Times New Roman"/>
          <w:sz w:val="20"/>
          <w:u w:val="single"/>
        </w:rPr>
        <w:t>e.g.</w:t>
      </w:r>
      <w:r>
        <w:rPr>
          <w:rFonts w:cs="Times New Roman" w:ascii="Times New Roman" w:hAnsi="Times New Roman"/>
          <w:sz w:val="20"/>
        </w:rPr>
        <w:t>, PJM Interconnection, L.L.C., Order Accepting In Part and Rejecting In Part Proposed Revisions To Rate Schedules, September 16, 1998 and New England Power Pool, "Order Conditionally Accepting Market Rules and  Conditionally Approving Market Based Rates, 85 FERC ¶ 61,379 (1998).  These markets generally allow all transmission customers to settle their imbalances at real time energy market prices.</w:t>
      </w:r>
    </w:p>
  </w:footnote>
  <w:footnote w:id="13">
    <w:p>
      <w:pPr>
        <w:pStyle w:val="FootnoteText"/>
        <w:spacing w:lineRule="auto" w:line="240" w:before="0" w:after="0"/>
        <w:rPr/>
      </w:pPr>
      <w:r>
        <w:rPr>
          <w:rStyle w:val="FootnoteCharacters"/>
        </w:rPr>
        <w:footnoteRef/>
      </w:r>
      <w:r>
        <w:rPr>
          <w:rFonts w:cs="Times New Roman" w:ascii="Times New Roman" w:hAnsi="Times New Roman"/>
          <w:i/>
          <w:sz w:val="20"/>
        </w:rPr>
        <w:t>GridFlorida, LLC</w:t>
      </w:r>
      <w:r>
        <w:rPr>
          <w:rFonts w:cs="Times New Roman" w:ascii="Times New Roman" w:hAnsi="Times New Roman"/>
          <w:sz w:val="20"/>
        </w:rPr>
        <w:t xml:space="preserve"> 94 FERC ¶ 61,363 at 62,327-28 (2001) (“</w:t>
      </w:r>
      <w:r>
        <w:rPr>
          <w:rFonts w:cs="Times New Roman" w:ascii="Times New Roman" w:hAnsi="Times New Roman"/>
          <w:i/>
          <w:sz w:val="20"/>
        </w:rPr>
        <w:t>GridFlorida”</w:t>
      </w:r>
      <w:r>
        <w:rPr>
          <w:rFonts w:cs="Times New Roman" w:ascii="Times New Roman" w:hAnsi="Times New Roman"/>
          <w:sz w:val="20"/>
        </w:rPr>
        <w:t>).</w:t>
      </w:r>
      <w:r>
        <w:rPr>
          <w:rFonts w:cs="Times New Roman" w:ascii="Times New Roman" w:hAnsi="Times New Roman"/>
          <w:sz w:val="24"/>
        </w:rPr>
        <w:t xml:space="preserve"> </w:t>
      </w:r>
    </w:p>
  </w:footnote>
  <w:footnote w:id="14">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Order No. 2000 at 31,205.</w:t>
      </w:r>
    </w:p>
  </w:footnote>
  <w:footnote w:id="15">
    <w:p>
      <w:pPr>
        <w:pStyle w:val="FootnoteText"/>
        <w:spacing w:before="0" w:after="120"/>
        <w:rPr/>
      </w:pPr>
      <w:r>
        <w:rPr>
          <w:rStyle w:val="FootnoteCharacters"/>
        </w:rPr>
        <w:footnoteRef/>
      </w:r>
      <w:r>
        <w:rPr/>
        <w:t xml:space="preserve"> </w:t>
      </w:r>
      <w:r>
        <w:rPr>
          <w:rFonts w:cs="Times New Roman" w:ascii="Times New Roman" w:hAnsi="Times New Roman"/>
          <w:sz w:val="20"/>
        </w:rPr>
        <w:t>Order No. 2000 at 31,108.</w:t>
      </w:r>
      <w:r>
        <w:rPr/>
        <w:t xml:space="preserve">  </w:t>
      </w:r>
    </w:p>
  </w:footnote>
  <w:footnote w:id="16">
    <w:p>
      <w:pPr>
        <w:pStyle w:val="FootnoteText"/>
        <w:spacing w:lineRule="auto" w:line="240" w:before="0" w:after="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i/>
          <w:sz w:val="20"/>
        </w:rPr>
        <w:t>See</w:t>
      </w:r>
      <w:r>
        <w:rPr>
          <w:rFonts w:cs="Times New Roman" w:ascii="Times New Roman" w:hAnsi="Times New Roman"/>
          <w:sz w:val="20"/>
        </w:rPr>
        <w:t xml:space="preserve"> Order No. 2000 at 31,205; </w:t>
      </w:r>
      <w:r>
        <w:rPr>
          <w:rFonts w:cs="Times New Roman" w:ascii="Times New Roman" w:hAnsi="Times New Roman"/>
          <w:i/>
          <w:sz w:val="20"/>
        </w:rPr>
        <w:t>see also</w:t>
      </w:r>
      <w:r>
        <w:rPr>
          <w:rFonts w:cs="Times New Roman" w:ascii="Times New Roman" w:hAnsi="Times New Roman"/>
          <w:sz w:val="20"/>
        </w:rPr>
        <w:t xml:space="preserve"> </w:t>
      </w:r>
      <w:r>
        <w:rPr>
          <w:rFonts w:cs="Times New Roman" w:ascii="Times New Roman" w:hAnsi="Times New Roman"/>
          <w:i/>
          <w:sz w:val="20"/>
        </w:rPr>
        <w:t xml:space="preserve">GridFlorida, </w:t>
      </w:r>
      <w:r>
        <w:rPr>
          <w:rFonts w:cs="Times New Roman" w:ascii="Times New Roman" w:hAnsi="Times New Roman"/>
          <w:sz w:val="20"/>
        </w:rPr>
        <w:t>at 62,337 (approving GridFlorida’s proposal for transitioning existing agreements to the GridFlorida OATT).</w:t>
      </w:r>
    </w:p>
  </w:footnote>
  <w:footnote w:id="17">
    <w:p>
      <w:pPr>
        <w:pStyle w:val="FootnoteText"/>
        <w:spacing w:lineRule="auto" w:line="240" w:before="0" w:after="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i/>
          <w:iCs/>
          <w:sz w:val="20"/>
        </w:rPr>
        <w:t>See</w:t>
      </w:r>
      <w:r>
        <w:rPr>
          <w:rFonts w:cs="Times New Roman" w:ascii="Times New Roman" w:hAnsi="Times New Roman"/>
          <w:sz w:val="20"/>
        </w:rPr>
        <w:t xml:space="preserve">  OATT Attachment 1 at 2. </w:t>
      </w:r>
    </w:p>
  </w:footnote>
  <w:footnote w:id="18">
    <w:p>
      <w:pPr>
        <w:pStyle w:val="FootnoteText"/>
        <w:spacing w:lineRule="auto" w:line="240" w:before="0" w:after="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i/>
          <w:sz w:val="20"/>
        </w:rPr>
        <w:t xml:space="preserve">See </w:t>
      </w:r>
      <w:r>
        <w:rPr>
          <w:rFonts w:cs="Times New Roman" w:ascii="Times New Roman" w:hAnsi="Times New Roman"/>
          <w:sz w:val="20"/>
        </w:rPr>
        <w:t xml:space="preserve">Standardizing Generator Interconnection Agreements and Procedures, Advance Notice of Proposed Rulemaking, RM02-1-000 (2001). </w:t>
      </w:r>
    </w:p>
  </w:footnote>
  <w:footnote w:id="19">
    <w:p>
      <w:pPr>
        <w:pStyle w:val="FootnoteText"/>
        <w:spacing w:lineRule="auto" w:line="240" w:before="0" w:after="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i/>
          <w:sz w:val="20"/>
        </w:rPr>
        <w:t>See Midwest Independent Transmission System Operator, Inc.,</w:t>
      </w:r>
      <w:r>
        <w:rPr>
          <w:rFonts w:cs="Times New Roman" w:ascii="Times New Roman" w:hAnsi="Times New Roman"/>
          <w:sz w:val="20"/>
        </w:rPr>
        <w:t xml:space="preserve"> 97 FERC ¶ 61,136, </w:t>
      </w:r>
      <w:r>
        <w:rPr>
          <w:rFonts w:cs="Times New Roman" w:ascii="Times New Roman" w:hAnsi="Times New Roman"/>
          <w:i/>
          <w:sz w:val="20"/>
        </w:rPr>
        <w:t xml:space="preserve"> slip op.</w:t>
      </w:r>
      <w:r>
        <w:rPr>
          <w:rFonts w:cs="Times New Roman" w:ascii="Times New Roman" w:hAnsi="Times New Roman"/>
          <w:sz w:val="20"/>
        </w:rPr>
        <w:t xml:space="preserve"> at 1 (2001) (where the Commission conditionally accepted the Midwest ISO’s interconnection procedures and agreement for filing, subject, however, to further Commission action following the conclusion of the Generic Proceeding). </w:t>
      </w:r>
    </w:p>
  </w:footnote>
  <w:footnote w:id="20">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 xml:space="preserve">OATT Appendix Q at Q.1(b), Q.2 and Q.7.6.   </w:t>
      </w:r>
    </w:p>
  </w:footnote>
  <w:footnote w:id="21">
    <w:p>
      <w:pPr>
        <w:pStyle w:val="FootnoteText"/>
        <w:spacing w:lineRule="auto" w:line="240"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Order No. 2000</w:t>
      </w:r>
      <w:r>
        <w:rPr>
          <w:rFonts w:cs="Times New Roman" w:ascii="Times New Roman" w:hAnsi="Times New Roman"/>
          <w:i/>
          <w:sz w:val="20"/>
        </w:rPr>
        <w:t xml:space="preserve"> </w:t>
      </w:r>
      <w:r>
        <w:rPr>
          <w:rFonts w:cs="Times New Roman" w:ascii="Times New Roman" w:hAnsi="Times New Roman"/>
          <w:sz w:val="20"/>
        </w:rPr>
        <w:t>at 31,108; s</w:t>
      </w:r>
      <w:r>
        <w:rPr>
          <w:rFonts w:cs="Times New Roman" w:ascii="Times New Roman" w:hAnsi="Times New Roman"/>
          <w:i/>
          <w:sz w:val="20"/>
        </w:rPr>
        <w:t xml:space="preserve">ee generally, New York Independent System Operator, Inc., </w:t>
      </w:r>
      <w:r>
        <w:rPr>
          <w:rFonts w:cs="Times New Roman" w:ascii="Times New Roman" w:hAnsi="Times New Roman"/>
          <w:sz w:val="20"/>
        </w:rPr>
        <w:t xml:space="preserve">97 FERC ¶ 61,118 (2001) and </w:t>
      </w:r>
      <w:r>
        <w:rPr>
          <w:rFonts w:cs="Times New Roman" w:ascii="Times New Roman" w:hAnsi="Times New Roman"/>
          <w:i/>
          <w:sz w:val="20"/>
        </w:rPr>
        <w:t xml:space="preserve">PJM Interconnection LLC, </w:t>
      </w:r>
      <w:r>
        <w:rPr>
          <w:rFonts w:cs="Times New Roman" w:ascii="Times New Roman" w:hAnsi="Times New Roman"/>
          <w:sz w:val="20"/>
        </w:rPr>
        <w:t>96 FERC ¶ 61,061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start"/>
      <w:pPr>
        <w:tabs>
          <w:tab w:val="num" w:pos="1800"/>
        </w:tabs>
        <w:ind w:start="1800" w:hanging="720"/>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3"/>
      <w:numFmt w:val="upperRoman"/>
      <w:lvlText w:val="%1."/>
      <w:lvlJc w:val="start"/>
      <w:pPr>
        <w:tabs>
          <w:tab w:val="num" w:pos="1080"/>
        </w:tabs>
        <w:ind w:start="1080" w:hanging="720"/>
      </w:pPr>
      <w:rPr/>
    </w:lvl>
  </w:abstractNum>
  <w:abstractNum w:abstractNumId="3">
    <w:lvl w:ilvl="0">
      <w:start w:val="1"/>
      <w:numFmt w:val="bullet"/>
      <w:lvlText w:val=""/>
      <w:lvlJc w:val="start"/>
      <w:pPr>
        <w:tabs>
          <w:tab w:val="num" w:pos="2160"/>
        </w:tabs>
        <w:ind w:start="2160" w:hanging="576"/>
      </w:pPr>
      <w:rPr>
        <w:rFonts w:ascii="Symbol" w:hAnsi="Symbol" w:cs="Symbol" w:hint="default"/>
      </w:rPr>
    </w:lvl>
  </w:abstractNum>
  <w:abstractNum w:abstractNumId="4">
    <w:lvl w:ilvl="0">
      <w:start w:val="5"/>
      <w:numFmt w:val="upperRoman"/>
      <w:lvlText w:val="%1."/>
      <w:lvlJc w:val="start"/>
      <w:pPr>
        <w:tabs>
          <w:tab w:val="num" w:pos="720"/>
        </w:tabs>
        <w:ind w:start="1080" w:hanging="720"/>
      </w:pPr>
      <w:rPr/>
    </w:lvl>
  </w:abstractNum>
  <w:abstractNum w:abstractNumId="5">
    <w:lvl w:ilvl="0">
      <w:start w:val="1"/>
      <w:numFmt w:val="bullet"/>
      <w:lvlText w:val=""/>
      <w:lvlJc w:val="start"/>
      <w:pPr>
        <w:tabs>
          <w:tab w:val="num" w:pos="2736"/>
        </w:tabs>
        <w:ind w:start="2736" w:hanging="576"/>
      </w:pPr>
      <w:rPr>
        <w:rFonts w:ascii="Symbol" w:hAnsi="Symbol" w:cs="Symbol" w:hint="default"/>
        <w:color w:val="auto"/>
      </w:rPr>
    </w:lvl>
  </w:abstractNum>
  <w:abstractNum w:abstractNumId="6">
    <w:lvl w:ilvl="0">
      <w:start w:val="1"/>
      <w:numFmt w:val="bullet"/>
      <w:lvlText w:val=""/>
      <w:lvlJc w:val="start"/>
      <w:pPr>
        <w:tabs>
          <w:tab w:val="num" w:pos="1800"/>
        </w:tabs>
        <w:ind w:start="1728"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Times New Roman" w:hAnsi="Galliard;Times New Roman" w:eastAsia="Times New Roman" w:cs="Galliard;Times New Roman"/>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b/>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style>
  <w:style w:type="character" w:styleId="WW8Num3z0">
    <w:name w:val="WW8Num3z0"/>
    <w:qFormat/>
    <w:rPr/>
  </w:style>
  <w:style w:type="character" w:styleId="WW8Num3z1">
    <w:name w:val="WW8Num3z1"/>
    <w:qFormat/>
    <w:rPr>
      <w:b/>
      <w:i w:val="false"/>
    </w:rPr>
  </w:style>
  <w:style w:type="character" w:styleId="WW8Num5z0">
    <w:name w:val="WW8Num5z0"/>
    <w:qFormat/>
    <w:rPr>
      <w:rFonts w:ascii="Symbol" w:hAnsi="Symbol" w:cs="Symbol"/>
      <w:color w:val="auto"/>
      <w:sz w:val="18"/>
    </w:rPr>
  </w:style>
  <w:style w:type="character" w:styleId="WW8Num6z0">
    <w:name w:val="WW8Num6z0"/>
    <w:qFormat/>
    <w:rPr>
      <w:rFonts w:ascii="Symbol" w:hAnsi="Symbol" w:cs="Times New Roman"/>
      <w:color w:val="000000"/>
      <w:sz w:val="18"/>
      <w:szCs w:val="18"/>
    </w:rPr>
  </w:style>
  <w:style w:type="character" w:styleId="WW8Num7z0">
    <w:name w:val="WW8Num7z0"/>
    <w:qFormat/>
    <w:rPr>
      <w:rFonts w:ascii="Symbol" w:hAnsi="Symbol" w:cs="Symbol"/>
      <w:color w:val="auto"/>
      <w:sz w:val="18"/>
    </w:rPr>
  </w:style>
  <w:style w:type="character" w:styleId="WW8Num8z0">
    <w:name w:val="WW8Num8z0"/>
    <w:qFormat/>
    <w:rPr>
      <w:rFonts w:ascii="Symbol" w:hAnsi="Symbol" w:cs="Times New Roman"/>
      <w:color w:val="000000"/>
      <w:sz w:val="18"/>
      <w:szCs w:val="18"/>
    </w:rPr>
  </w:style>
  <w:style w:type="character" w:styleId="WW8Num10z0">
    <w:name w:val="WW8Num10z0"/>
    <w:qFormat/>
    <w:rPr>
      <w:rFonts w:ascii="Symbol" w:hAnsi="Symbol" w:cs="Symbol"/>
      <w:color w:val="auto"/>
      <w:sz w:val="18"/>
    </w:rPr>
  </w:style>
  <w:style w:type="character" w:styleId="WW8Num11z0">
    <w:name w:val="WW8Num11z0"/>
    <w:qFormat/>
    <w:rPr/>
  </w:style>
  <w:style w:type="character" w:styleId="WW8Num12z0">
    <w:name w:val="WW8Num12z0"/>
    <w:qFormat/>
    <w:rPr>
      <w:rFonts w:ascii="Symbol" w:hAnsi="Symbol" w:cs="Symbol"/>
      <w:color w:val="auto"/>
      <w:sz w:val="18"/>
    </w:rPr>
  </w:style>
  <w:style w:type="character" w:styleId="WW8Num13z0">
    <w:name w:val="WW8Num13z0"/>
    <w:qFormat/>
    <w:rPr/>
  </w:style>
  <w:style w:type="character" w:styleId="WW8Num14z0">
    <w:name w:val="WW8Num14z0"/>
    <w:qFormat/>
    <w:rPr>
      <w:rFonts w:ascii="Symbol" w:hAnsi="Symbol" w:cs="Symbol"/>
      <w:color w:val="auto"/>
      <w:sz w:val="18"/>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sz w:val="18"/>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sz w:val="18"/>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273"/>
      <w:ind w:firstLine="1080" w:start="0" w:end="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3"/>
      </w:numPr>
      <w:spacing w:before="260" w:after="0"/>
      <w:ind w:hanging="0" w:start="0" w:end="1080"/>
    </w:pPr>
    <w:rPr/>
  </w:style>
  <w:style w:type="paragraph" w:styleId="Bullet-Small">
    <w:name w:val="Bullet-Small"/>
    <w:basedOn w:val="Normal"/>
    <w:qFormat/>
    <w:pPr>
      <w:numPr>
        <w:ilvl w:val="0"/>
        <w:numId w:val="5"/>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LeftAlign">
    <w:name w:val="Left Align"/>
    <w:basedOn w:val="Normal"/>
    <w:qFormat/>
    <w:pPr>
      <w:spacing w:lineRule="auto" w:line="240"/>
    </w:pPr>
    <w:rPr>
      <w:rFonts w:ascii="Courier" w:hAnsi="Courier" w:cs="Courie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z w:val="22"/>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TitleStyle">
    <w:name w:val="Title Style"/>
    <w:basedOn w:val="Normal"/>
    <w:qFormat/>
    <w:pPr>
      <w:spacing w:lineRule="auto" w:line="240"/>
      <w:jc w:val="center"/>
    </w:pPr>
    <w:rPr>
      <w:b/>
      <w:caps/>
    </w:rPr>
  </w:style>
  <w:style w:type="paragraph" w:styleId="BodyTextIndent2">
    <w:name w:val="Body Text Indent 2"/>
    <w:basedOn w:val="Normal"/>
    <w:qFormat/>
    <w:pPr>
      <w:autoSpaceDE w:val="false"/>
      <w:spacing w:lineRule="auto" w:line="240" w:before="0" w:after="120"/>
      <w:ind w:hanging="0" w:start="360" w:end="0"/>
    </w:pPr>
    <w:rPr>
      <w:rFonts w:ascii="Times New Roman" w:hAnsi="Times New Roman" w:cs="Times New Roman"/>
      <w:sz w:val="20"/>
    </w:rPr>
  </w:style>
  <w:style w:type="paragraph" w:styleId="BodyTextIndent3">
    <w:name w:val="Body Text Indent 3"/>
    <w:basedOn w:val="Normal"/>
    <w:qFormat/>
    <w:pPr>
      <w:autoSpaceDE w:val="false"/>
      <w:spacing w:lineRule="auto" w:line="240" w:before="0" w:after="120"/>
      <w:ind w:hanging="0" w:start="360" w:end="0"/>
    </w:pPr>
    <w:rPr>
      <w:rFonts w:ascii="Times New Roman" w:hAnsi="Times New Roman" w:cs="Times New Roman"/>
      <w:sz w:val="22"/>
    </w:rPr>
  </w:style>
  <w:style w:type="paragraph" w:styleId="BodyTextIndent">
    <w:name w:val="Body Text Indent"/>
    <w:basedOn w:val="Normal"/>
    <w:pPr>
      <w:numPr>
        <w:ilvl w:val="0"/>
        <w:numId w:val="0"/>
      </w:numPr>
      <w:spacing w:lineRule="auto" w:line="360"/>
      <w:ind w:hanging="0" w:start="0" w:end="0"/>
    </w:pPr>
    <w:rPr>
      <w:rFonts w:ascii="Arial" w:hAnsi="Arial" w:cs="Arial"/>
    </w:rPr>
  </w:style>
  <w:style w:type="paragraph" w:styleId="Subtitle">
    <w:name w:val="Subtitle"/>
    <w:basedOn w:val="Normal"/>
    <w:next w:val="BodyText"/>
    <w:qFormat/>
    <w:pPr>
      <w:spacing w:lineRule="auto" w:line="240" w:before="0" w:after="60"/>
      <w:jc w:val="center"/>
    </w:pPr>
    <w:rPr>
      <w:rFonts w:ascii="Arial" w:hAnsi="Arial" w:cs="Arial"/>
      <w:sz w:val="26"/>
    </w:rPr>
  </w:style>
  <w:style w:type="paragraph" w:styleId="BodyText2">
    <w:name w:val="Body Text 2"/>
    <w:basedOn w:val="Normal"/>
    <w:qFormat/>
    <w:pPr>
      <w:spacing w:lineRule="auto" w:line="480"/>
    </w:pPr>
    <w:rPr>
      <w:rFonts w:ascii="Times New Roman" w:hAnsi="Times New Roman" w:cs="Times New Roman"/>
      <w:b/>
    </w:rPr>
  </w:style>
  <w:style w:type="paragraph" w:styleId="BlockText">
    <w:name w:val="Block Text"/>
    <w:basedOn w:val="Normal"/>
    <w:qFormat/>
    <w:pPr>
      <w:spacing w:lineRule="auto" w:line="240"/>
      <w:ind w:hanging="0" w:start="1503" w:end="1350"/>
    </w:pPr>
    <w:rPr>
      <w:rFonts w:ascii="Times New Roman" w:hAnsi="Times New Roman" w:cs="Times New Roman"/>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2001-11-13T22:59:00Z</dcterms:created>
  <dc:creator>DSMO</dc:creator>
  <dc:description/>
  <dc:language>en-CA</dc:language>
  <cp:lastModifiedBy>Daniel W. Douglass</cp:lastModifiedBy>
  <cp:lastPrinted>2001-11-13T17:23:00Z</cp:lastPrinted>
  <dcterms:modified xsi:type="dcterms:W3CDTF">2001-11-14T08:15:00Z</dcterms:modified>
  <cp:revision>62</cp:revision>
  <dc:subject/>
  <dc:title>EPSA WestConnect Protest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TB1T04!.DOC</vt:lpwstr>
  </property>
  <property fmtid="{D5CDD505-2E9C-101B-9397-08002B2CF9AE}" pid="3" name="DOCSDocVer">
    <vt:lpwstr>4</vt:lpwstr>
  </property>
  <property fmtid="{D5CDD505-2E9C-101B-9397-08002B2CF9AE}" pid="4" name="DOCSNumber">
    <vt:lpwstr>1367345</vt:lpwstr>
  </property>
</Properties>
</file>