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 FROM MEETING</w:t>
      </w:r>
    </w:p>
    <w:p>
      <w:pPr>
        <w:pStyle w:val="Normal"/>
        <w:jc w:val="center"/>
        <w:rPr/>
      </w:pPr>
      <w:r>
        <w:rPr/>
        <w:t>THURSDAY, NOV. 15, 2001</w:t>
      </w:r>
    </w:p>
    <w:p>
      <w:pPr>
        <w:pStyle w:val="Normal"/>
        <w:jc w:val="center"/>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15</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Other 8K filings - investor call script from Wednesday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10Q filing (5 day extension); may also include revised 14A regarding Ken's compensation.  Filing will not be complete (no auditor letter).  Auditors not likely to sign until Special Committee work is complete.  May require more extensive registrations  (S-1) for securities issuances.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 xml:space="preserve">Mon., Nov. 19 </w:t>
            </w:r>
          </w:p>
          <w:p>
            <w:pPr>
              <w:pStyle w:val="Normal"/>
              <w:rPr/>
            </w:pPr>
            <w:r>
              <w:rPr/>
              <w:t>(2:00 pm EST)</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Bank meeting @ Waldorf in New York</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For the past two years, Enron has used 30-day rolling averages for daily transaction counts and notional value for our wholesale trading activities on EnronOnline due to the normal variability in these numbers on a day-to-day basis.  Due to the unusual events of the last few weeks, we provided some daily information.  However, we intend to again use rolling averages in all communications going forward.  While we saw some decrease in volumes on EnronOnline at the end of last week due to the impending merger announcement, volumes have returned to a normal range and are holding steady at a rolling average of 5,700 transactions with a notional value of $2.7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for which Enron have a distinct competitive advantage.  These businesses, collectively, generate significant earnings and cash flows for the company.  These businesses include – </w:t>
            </w:r>
          </w:p>
          <w:p>
            <w:pPr>
              <w:pStyle w:val="Normal"/>
              <w:ind w:start="60" w:end="0"/>
              <w:rPr/>
            </w:pPr>
            <w:r>
              <w:rPr/>
            </w:r>
          </w:p>
          <w:p>
            <w:pPr>
              <w:pStyle w:val="Normal"/>
              <w:numPr>
                <w:ilvl w:val="1"/>
                <w:numId w:val="10"/>
              </w:numPr>
              <w:rPr/>
            </w:pPr>
            <w:r>
              <w:rPr/>
              <w:t>Gas &amp; Power businesses in North America &amp; Europe;</w:t>
            </w:r>
          </w:p>
          <w:p>
            <w:pPr>
              <w:pStyle w:val="Normal"/>
              <w:numPr>
                <w:ilvl w:val="1"/>
                <w:numId w:val="10"/>
              </w:numPr>
              <w:rPr/>
            </w:pPr>
            <w:r>
              <w:rPr/>
              <w:t>Coal businesses;</w:t>
            </w:r>
          </w:p>
          <w:p>
            <w:pPr>
              <w:pStyle w:val="Normal"/>
              <w:numPr>
                <w:ilvl w:val="1"/>
                <w:numId w:val="10"/>
              </w:numPr>
              <w:rPr/>
            </w:pPr>
            <w:r>
              <w:rPr/>
              <w:t xml:space="preserve">Retail businesses in North America and Europe; and </w:t>
            </w:r>
          </w:p>
          <w:p>
            <w:pPr>
              <w:pStyle w:val="Normal"/>
              <w:numPr>
                <w:ilvl w:val="1"/>
                <w:numId w:val="10"/>
              </w:numPr>
              <w:rPr/>
            </w:pPr>
            <w:r>
              <w:rPr/>
              <w:t>Natural Gas Pipeline businesses</w:t>
            </w:r>
          </w:p>
          <w:p>
            <w:pPr>
              <w:pStyle w:val="Normal"/>
              <w:rPr/>
            </w:pPr>
            <w:r>
              <w:rPr/>
            </w:r>
          </w:p>
          <w:p>
            <w:pPr>
              <w:pStyle w:val="Normal"/>
              <w:numPr>
                <w:ilvl w:val="0"/>
                <w:numId w:val="10"/>
              </w:numPr>
              <w:rPr/>
            </w:pPr>
            <w:r>
              <w:rPr>
                <w:b/>
                <w:bCs/>
              </w:rPr>
              <w:t>Non-Core</w:t>
            </w:r>
            <w:r>
              <w:rPr/>
              <w:t xml:space="preserve"> businesses are businesses that, while valuable or potentially valuable, do not closely relate to Enron’s core businesses.  These primarily are part of our global assets segment and broadband division.  We have over $8 billion invested in these businesses but the overall return from these investments has not met expectations.  Accordingly, we plan to divest assets in these businesses in an orderly fashion and expect that the sale of non-core assets and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the capital requirements and near-term growth prospects of these businesses.  These businesses are primarily our wholesale businesses outside of power and gas and include both our energy-related and industrial markets activities.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don't comment on daily cash balances.</w:t>
            </w:r>
          </w:p>
          <w:p>
            <w:pPr>
              <w:pStyle w:val="Normal"/>
              <w:numPr>
                <w:ilvl w:val="0"/>
                <w:numId w:val="4"/>
              </w:numPr>
              <w:jc w:val="both"/>
              <w:rPr/>
            </w:pPr>
            <w:r>
              <w:rPr/>
              <w:t>But we have taken steps to ensure adequate liquidity.</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New asset sales?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proceed with our already announced asset sales plans; we will liquidate these positions in an orderly fashion.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continue to pursue equity investment sources.</w:t>
            </w:r>
          </w:p>
          <w:p>
            <w:pPr>
              <w:pStyle w:val="Normal"/>
              <w:numPr>
                <w:ilvl w:val="0"/>
                <w:numId w:val="4"/>
              </w:numPr>
              <w:jc w:val="both"/>
              <w:rPr/>
            </w:pPr>
            <w:r>
              <w:rPr/>
              <w:t>We will not discuss the potential investors or terms.</w:t>
            </w:r>
          </w:p>
          <w:p>
            <w:pPr>
              <w:pStyle w:val="Normal"/>
              <w:numPr>
                <w:ilvl w:val="0"/>
                <w:numId w:val="4"/>
              </w:numPr>
              <w:jc w:val="both"/>
              <w:rPr/>
            </w:pPr>
            <w:r>
              <w:rPr/>
              <w:t>[The merger agreement provides Enron with the flexibility to sell additional equity up to $2 billion.]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 there an obligation to "defease" Marlin and Osprey 120 days in advance?</w:t>
            </w:r>
          </w:p>
          <w:p>
            <w:pPr>
              <w:pStyle w:val="Normal"/>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Standard provision in a share trust transaction.</w:t>
            </w:r>
          </w:p>
          <w:p>
            <w:pPr>
              <w:pStyle w:val="Normal"/>
              <w:numPr>
                <w:ilvl w:val="0"/>
                <w:numId w:val="4"/>
              </w:numPr>
              <w:jc w:val="both"/>
              <w:rPr/>
            </w:pPr>
            <w:r>
              <w:rPr/>
              <w:t>Requirement is to collateralize the obligation in advance of the termination.</w:t>
            </w:r>
          </w:p>
          <w:p>
            <w:pPr>
              <w:pStyle w:val="Normal"/>
              <w:numPr>
                <w:ilvl w:val="0"/>
                <w:numId w:val="4"/>
              </w:numPr>
              <w:autoSpaceDE w:val="false"/>
              <w:rPr>
                <w:szCs w:val="20"/>
              </w:rPr>
            </w:pPr>
            <w:r>
              <w:rPr>
                <w:szCs w:val="20"/>
              </w:rPr>
              <w:t>Defeasing Marlin and Osprey was part of the original agreements.  Osprey defeases in August 2002</w:t>
            </w:r>
          </w:p>
          <w:p>
            <w:pPr>
              <w:pStyle w:val="Normal"/>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We will receive full payment by next week-- $450MM   On Nov. 14 from JPMorgan/Chase and the remainder from Citigroup next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no specific comment on litigation</w:t>
            </w:r>
          </w:p>
          <w:p>
            <w:pPr>
              <w:pStyle w:val="Normal"/>
              <w:numPr>
                <w:ilvl w:val="0"/>
                <w:numId w:val="4"/>
              </w:numPr>
              <w:jc w:val="both"/>
              <w:rPr/>
            </w:pPr>
            <w:r>
              <w:rPr/>
              <w:t>shareholder suits likely to be consolidated</w:t>
            </w:r>
          </w:p>
          <w:p>
            <w:pPr>
              <w:pStyle w:val="Normal"/>
              <w:numPr>
                <w:ilvl w:val="0"/>
                <w:numId w:val="4"/>
              </w:numPr>
              <w:jc w:val="both"/>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Ken, like many CEOs, has a change in control provision in his contract (and has had one for many years)</w:t>
            </w:r>
          </w:p>
          <w:p>
            <w:pPr>
              <w:pStyle w:val="Normal"/>
              <w:numPr>
                <w:ilvl w:val="0"/>
                <w:numId w:val="4"/>
              </w:numPr>
              <w:rPr/>
            </w:pPr>
            <w:r>
              <w:rPr/>
              <w:t>Ken has elected to waive his right to payment under that provision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Impact of merger on asset sales transactions </w:t>
            </w:r>
          </w:p>
          <w:p>
            <w:pPr>
              <w:pStyle w:val="Normal"/>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$1.5 billion received from Dynegy on 11/13/01.</w:t>
            </w:r>
          </w:p>
          <w:p>
            <w:pPr>
              <w:pStyle w:val="Normal"/>
              <w:numPr>
                <w:ilvl w:val="0"/>
                <w:numId w:val="4"/>
              </w:numPr>
              <w:rPr/>
            </w:pPr>
            <w:r>
              <w:rPr/>
              <w:t>$450 million from Chase under secured facility. closed 11/14.</w:t>
            </w:r>
          </w:p>
          <w:p>
            <w:pPr>
              <w:pStyle w:val="Normal"/>
              <w:numPr>
                <w:ilvl w:val="0"/>
                <w:numId w:val="4"/>
              </w:numPr>
              <w:rPr/>
            </w:pPr>
            <w:r>
              <w:rPr/>
              <w:t>Expect the $550 million balance from Citibank to close next week.</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pPr>
            <w:r>
              <w:rPr/>
              <w:t>Enron has agreed to noncompete provisions with many of its critical employees.  We are not commenting on the specific terms.</w:t>
            </w:r>
          </w:p>
          <w:p>
            <w:pPr>
              <w:pStyle w:val="Normal"/>
              <w:numPr>
                <w:ilvl w:val="0"/>
                <w:numId w:val="9"/>
              </w:numPr>
              <w:jc w:val="both"/>
              <w:rPr/>
            </w:pPr>
            <w:r>
              <w:rPr/>
              <w:t>The employees receive consideration for agreeing to noncompete clauses.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jc w:val="both"/>
              <w:rPr/>
            </w:pPr>
            <w:r>
              <w:rPr/>
              <w:t>As previously disclosed we are reviewing our businesses and determining which are core and noncore.  Some of the businesses under review include trading operations.</w:t>
            </w:r>
          </w:p>
          <w:p>
            <w:pPr>
              <w:pStyle w:val="Normal"/>
              <w:numPr>
                <w:ilvl w:val="0"/>
                <w:numId w:val="8"/>
              </w:numPr>
              <w:jc w:val="both"/>
              <w:rPr/>
            </w:pPr>
            <w:r>
              <w:rPr/>
              <w:t>We are not seeing significant departures of traders under our core businesses.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did Enron freeze employee 401K changes?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[Karen confirming with C. Barrow]</w:t>
            </w:r>
          </w:p>
          <w:p>
            <w:pPr>
              <w:pStyle w:val="Normal"/>
              <w:numPr>
                <w:ilvl w:val="0"/>
                <w:numId w:val="6"/>
              </w:numPr>
              <w:jc w:val="both"/>
              <w:rPr/>
            </w:pPr>
            <w:r>
              <w:rPr/>
              <w:t>Enron has been in the process of changing its plan administrator.</w:t>
            </w:r>
          </w:p>
          <w:p>
            <w:pPr>
              <w:pStyle w:val="Normal"/>
              <w:numPr>
                <w:ilvl w:val="0"/>
                <w:numId w:val="6"/>
              </w:numPr>
              <w:jc w:val="both"/>
              <w:rPr/>
            </w:pPr>
            <w:r>
              <w:rPr/>
              <w:t>The record and data transfer and the process set</w:t>
              <w:noBreakHyphen/>
              <w:t>up takes several weeks.</w:t>
            </w:r>
          </w:p>
          <w:p>
            <w:pPr>
              <w:pStyle w:val="Normal"/>
              <w:numPr>
                <w:ilvl w:val="0"/>
                <w:numId w:val="6"/>
              </w:numPr>
              <w:jc w:val="both"/>
              <w:rPr/>
            </w:pPr>
            <w:r>
              <w:rPr/>
              <w:t>Employees were notified well in advance and we accelerated the transition.  Employees can now make changes.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jc w:val="both"/>
              <w:rPr/>
            </w:pPr>
            <w:r>
              <w:rPr/>
              <w:t>Fastow no longer works here.</w:t>
            </w:r>
          </w:p>
          <w:p>
            <w:pPr>
              <w:pStyle w:val="Normal"/>
              <w:numPr>
                <w:ilvl w:val="0"/>
                <w:numId w:val="7"/>
              </w:numPr>
              <w:jc w:val="both"/>
              <w:rPr/>
            </w:pPr>
            <w:r>
              <w:rPr/>
              <w:t>Special Committee is still reviewing the facts underlying the related party transactions and considering the appropriate action.</w:t>
            </w:r>
          </w:p>
          <w:p>
            <w:pPr>
              <w:pStyle w:val="Normal"/>
              <w:numPr>
                <w:ilvl w:val="0"/>
                <w:numId w:val="7"/>
              </w:numPr>
              <w:jc w:val="both"/>
              <w:rPr/>
            </w:pPr>
            <w:r>
              <w:rPr/>
              <w:t>No severance payment has been made to Fastow.</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Enron has identified Broadband as noncore, but Dynegy has said Broadband remains.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jc w:val="both"/>
              <w:rPr/>
            </w:pPr>
            <w:r>
              <w:rPr/>
              <w:t>Enron's plan for the broadband business have been discussed with Dynegy and these actions are consistent with Dynegy's strategy.</w:t>
            </w:r>
          </w:p>
          <w:p>
            <w:pPr>
              <w:pStyle w:val="Normal"/>
              <w:numPr>
                <w:ilvl w:val="0"/>
                <w:numId w:val="11"/>
              </w:numPr>
              <w:jc w:val="both"/>
              <w:rPr/>
            </w:pPr>
            <w:r>
              <w:rPr/>
              <w:t>Dynegy's broadband business has had a narrower focus, so Enron's reduced activity does not adversely impact Dynegy's strategy.</w:t>
            </w:r>
          </w:p>
          <w:p>
            <w:pPr>
              <w:pStyle w:val="Normal"/>
              <w:jc w:val="both"/>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Mark Palmer</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Julia Murray</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bl>
    <w:p>
      <w:pPr>
        <w:pStyle w:val="Normal"/>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sectPr>
      <w:type w:val="nextPage"/>
      <w:pgSz w:orient="landscape" w:w="15840" w:h="122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2001-11-15T15:54:00Z</dcterms:created>
  <dc:creator>mmcvick</dc:creator>
  <dc:description/>
  <dc:language>en-CA</dc:language>
  <cp:lastModifiedBy>mmcvick</cp:lastModifiedBy>
  <cp:lastPrinted>2001-11-15T13:25:00Z</cp:lastPrinted>
  <dcterms:modified xsi:type="dcterms:W3CDTF">2001-11-15T16:57:00Z</dcterms:modified>
  <cp:revision>8</cp:revision>
  <dc:subject/>
  <dc:title>MESSAGE POINT FROM MEETING</dc:title>
</cp:coreProperties>
</file>