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ind w:hanging="0" w:end="0"/>
        <w:jc w:val="center"/>
        <w:rPr>
          <w:b/>
          <w:bCs/>
          <w:u w:val="single"/>
        </w:rPr>
      </w:pPr>
      <w:r>
        <w:rPr>
          <w:b/>
          <w:bCs/>
          <w:u w:val="single"/>
        </w:rPr>
        <w:t>SDG&amp;E Advice Letter Summary</w:t>
      </w:r>
    </w:p>
    <w:p>
      <w:pPr>
        <w:pStyle w:val="Body"/>
        <w:ind w:hanging="0" w:end="0"/>
        <w:jc w:val="center"/>
        <w:rPr/>
      </w:pPr>
      <w:r>
        <w:rPr/>
        <w:t>November 15, 2000</w:t>
        <w:b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1223-G</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10/30/00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11/19/00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spacing w:before="0" w:after="0"/>
              <w:ind w:hanging="0" w:end="0"/>
              <w:rPr>
                <w:b/>
                <w:bCs/>
              </w:rPr>
            </w:pPr>
            <w:r>
              <w:rPr>
                <w:b/>
                <w:bCs/>
              </w:rPr>
              <w:t xml:space="preserve">Analysis:  </w:t>
            </w:r>
          </w:p>
          <w:p>
            <w:pPr>
              <w:pStyle w:val="Normal"/>
              <w:jc w:val="both"/>
              <w:rPr/>
            </w:pPr>
            <w:r>
              <w:rPr/>
              <w:t>This advice letter filing submits changes to their gas transportation rates, effective 1/1/01.  The changes are in accordance with the decision in their 1999 BCAP proceeding.  The changes include updates to three key components of the transportation rates: gas balancing accounts amortization, core de-averaging and SoCalGas transportation costs allocated to SDG&amp;E.  The net effect of all the changes is an overall 4.6% decrease.</w:t>
            </w:r>
          </w:p>
          <w:p>
            <w:pPr>
              <w:pStyle w:val="Normal"/>
              <w:tabs>
                <w:tab w:val="clear" w:pos="720"/>
                <w:tab w:val="left" w:pos="9180" w:leader="none"/>
              </w:tabs>
              <w:ind w:start="720" w:end="0"/>
              <w:jc w:val="both"/>
              <w:rPr/>
            </w:pPr>
            <w:r>
              <w:rPr/>
            </w:r>
          </w:p>
        </w:tc>
      </w:tr>
    </w:tbl>
    <w:p>
      <w:pPr>
        <w:pStyle w:val="Body"/>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1226-G</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11/6/00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11/26/00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spacing w:before="0" w:after="0"/>
              <w:ind w:hanging="0" w:end="0"/>
              <w:rPr>
                <w:b/>
                <w:bCs/>
              </w:rPr>
            </w:pPr>
            <w:r>
              <w:rPr>
                <w:b/>
                <w:bCs/>
              </w:rPr>
              <w:t xml:space="preserve">Analysis:  </w:t>
            </w:r>
          </w:p>
          <w:p>
            <w:pPr>
              <w:pStyle w:val="Normal"/>
              <w:rPr>
                <w:u w:val="single"/>
              </w:rPr>
            </w:pPr>
            <w:r>
              <w:rPr/>
              <w:t>This advice letter filing informs the Commission of revisions to SDG&amp;E’s core and noncore gas procurement rates.</w:t>
            </w:r>
          </w:p>
          <w:p>
            <w:pPr>
              <w:pStyle w:val="Normal"/>
              <w:jc w:val="both"/>
              <w:rPr>
                <w:u w:val="single"/>
              </w:rPr>
            </w:pPr>
            <w:r>
              <w:rPr>
                <w:u w:val="single"/>
              </w:rPr>
            </w:r>
          </w:p>
          <w:p>
            <w:pPr>
              <w:pStyle w:val="Normal"/>
              <w:tabs>
                <w:tab w:val="clear" w:pos="720"/>
                <w:tab w:val="left" w:pos="9180" w:leader="none"/>
              </w:tabs>
              <w:ind w:start="720" w:end="0"/>
              <w:jc w:val="both"/>
              <w:rPr/>
            </w:pPr>
            <w:r>
              <w:rPr/>
            </w:r>
          </w:p>
        </w:tc>
      </w:tr>
    </w:tbl>
    <w:p>
      <w:pPr>
        <w:pStyle w:val="Body"/>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1268-E</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11/7/00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11/27/00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Should be Reviewed</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spacing w:before="0" w:after="0"/>
              <w:ind w:hanging="0" w:end="0"/>
              <w:rPr>
                <w:b/>
                <w:bCs/>
              </w:rPr>
            </w:pPr>
            <w:r>
              <w:rPr>
                <w:b/>
                <w:bCs/>
              </w:rPr>
              <w:t xml:space="preserve">Analysis:  </w:t>
            </w:r>
          </w:p>
          <w:p>
            <w:pPr>
              <w:pStyle w:val="Normal"/>
              <w:rPr/>
            </w:pPr>
            <w:r>
              <w:rPr/>
              <w:t xml:space="preserve">This advice letter filing submits a </w:t>
            </w:r>
            <w:r>
              <w:rPr>
                <w:i/>
                <w:iCs/>
              </w:rPr>
              <w:t>Net Energy Metering</w:t>
            </w:r>
            <w:r>
              <w:rPr/>
              <w:t xml:space="preserve"> pro forma tariff, in accordance with the ALJ ruling in the distributed generation proceeding.  This is designed to implement AB 918, which exempts an electric utility from the obligation to provide net energy metering to a direct access customer, if the ESP with which the customer does business does not offer net energy metering.  The bill also authorizes the utility to recover from the ESP the incremental costs of meter and billing service related to net energy metering.</w:t>
            </w:r>
          </w:p>
          <w:p>
            <w:pPr>
              <w:pStyle w:val="Normal"/>
              <w:rPr/>
            </w:pPr>
            <w:r>
              <w:rPr/>
            </w:r>
          </w:p>
          <w:p>
            <w:pPr>
              <w:pStyle w:val="Normal"/>
              <w:rPr/>
            </w:pPr>
            <w:r>
              <w:rPr/>
              <w:t>AB 918 also establishes formulas for the calculation of net monthly consumption for eligible customer-generators taking service which employs baseline, over baseline and TOU rates.  Moneys owed to an ESP and credits owed to the customer-generator can be carried forward to the end of each 12-month period.</w:t>
            </w:r>
          </w:p>
          <w:p>
            <w:pPr>
              <w:pStyle w:val="Normal"/>
              <w:rPr/>
            </w:pPr>
            <w:r>
              <w:rPr/>
            </w:r>
          </w:p>
          <w:p>
            <w:pPr>
              <w:pStyle w:val="Normal"/>
              <w:rPr>
                <w:u w:val="single"/>
              </w:rPr>
            </w:pPr>
            <w:r>
              <w:rPr/>
              <w:t>The pro forma tariff is to be effective on 1/1/01.</w:t>
            </w:r>
          </w:p>
          <w:p>
            <w:pPr>
              <w:pStyle w:val="Normal"/>
              <w:jc w:val="both"/>
              <w:rPr>
                <w:u w:val="single"/>
              </w:rPr>
            </w:pPr>
            <w:r>
              <w:rPr>
                <w:u w:val="single"/>
              </w:rPr>
            </w:r>
          </w:p>
          <w:p>
            <w:pPr>
              <w:pStyle w:val="Normal"/>
              <w:tabs>
                <w:tab w:val="clear" w:pos="720"/>
                <w:tab w:val="left" w:pos="9180" w:leader="none"/>
              </w:tabs>
              <w:ind w:start="720" w:end="0"/>
              <w:jc w:val="both"/>
              <w:rPr/>
            </w:pPr>
            <w:r>
              <w:rPr/>
            </w:r>
          </w:p>
        </w:tc>
      </w:tr>
    </w:tbl>
    <w:p>
      <w:pPr>
        <w:pStyle w:val="Body"/>
        <w:spacing w:before="0" w:after="240"/>
        <w:ind w:hanging="0" w:end="0"/>
        <w:jc w:val="center"/>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snapToGrid w:val="false"/>
            <w:rPr/>
          </w:pPr>
          <w:r>
            <w:rPr/>
          </w:r>
        </w:p>
        <w:p>
          <w:pPr>
            <w:pStyle w:val="FooterTxt"/>
            <w:rPr/>
          </w:pPr>
          <w:r>
            <w:rPr/>
          </w:r>
        </w:p>
      </w:tc>
      <w:tc>
        <w:tcPr>
          <w:tcW w:w="1987" w:type="dxa"/>
          <w:tcBorders/>
        </w:tcPr>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tc>
      <w:tc>
        <w:tcPr>
          <w:tcW w:w="3690" w:type="dxa"/>
          <w:tcBorders/>
        </w:tcPr>
        <w:p>
          <w:pPr>
            <w:pStyle w:val="Normal"/>
            <w:snapToGrid w:val="false"/>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snapToGrid w:val="false"/>
            <w:rPr/>
          </w:pPr>
          <w:r>
            <w:rPr/>
          </w:r>
        </w:p>
      </w:tc>
      <w:tc>
        <w:tcPr>
          <w:tcW w:w="1987" w:type="dxa"/>
          <w:tcBorders/>
        </w:tcPr>
        <w:p>
          <w:pPr>
            <w:pStyle w:val="Normal"/>
            <w:snapToGrid w:val="false"/>
            <w:jc w:val="center"/>
            <w:rPr/>
          </w:pPr>
          <w:r>
            <w:rPr/>
          </w:r>
        </w:p>
      </w:tc>
      <w:tc>
        <w:tcPr>
          <w:tcW w:w="3686" w:type="dxa"/>
          <w:tcBorders/>
        </w:tcPr>
        <w:p>
          <w:pPr>
            <w:pStyle w:val="Normal"/>
            <w:snapToGrid w:val="false"/>
            <w:jc w:val="end"/>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SDG&amp;E Advice Letter Summary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sz w:val="24"/>
      <w:szCs w:val="24"/>
    </w:rPr>
  </w:style>
  <w:style w:type="paragraph" w:styleId="Heading3">
    <w:name w:val="heading 3"/>
    <w:basedOn w:val="Normal"/>
    <w:next w:val="Normal"/>
    <w:qFormat/>
    <w:pPr>
      <w:numPr>
        <w:ilvl w:val="2"/>
        <w:numId w:val="1"/>
      </w:numPr>
      <w:ind w:hanging="720" w:start="2160" w:end="0"/>
      <w:outlineLvl w:val="2"/>
    </w:pPr>
    <w:rPr>
      <w:b/>
      <w:bCs/>
      <w:sz w:val="24"/>
      <w:szCs w:val="24"/>
    </w:rPr>
  </w:style>
  <w:style w:type="paragraph" w:styleId="Heading4">
    <w:name w:val="heading 4"/>
    <w:basedOn w:val="Normal"/>
    <w:next w:val="Normal"/>
    <w:qFormat/>
    <w:pPr>
      <w:numPr>
        <w:ilvl w:val="3"/>
        <w:numId w:val="1"/>
      </w:numPr>
      <w:ind w:hanging="720" w:start="2880" w:end="0"/>
      <w:outlineLvl w:val="3"/>
    </w:pPr>
    <w:rPr>
      <w:b/>
      <w:bCs/>
      <w:sz w:val="24"/>
      <w:szCs w:val="24"/>
    </w:rPr>
  </w:style>
  <w:style w:type="paragraph" w:styleId="Heading5">
    <w:name w:val="heading 5"/>
    <w:basedOn w:val="Normal"/>
    <w:next w:val="Normal"/>
    <w:qFormat/>
    <w:pPr>
      <w:numPr>
        <w:ilvl w:val="4"/>
        <w:numId w:val="1"/>
      </w:numPr>
      <w:ind w:hanging="720" w:start="3600" w:end="0"/>
      <w:outlineLvl w:val="4"/>
    </w:pPr>
    <w:rPr>
      <w:b/>
      <w:bCs/>
      <w:sz w:val="24"/>
      <w:szCs w:val="24"/>
    </w:rPr>
  </w:style>
  <w:style w:type="paragraph" w:styleId="Heading6">
    <w:name w:val="heading 6"/>
    <w:basedOn w:val="Normal"/>
    <w:next w:val="Normal"/>
    <w:qFormat/>
    <w:pPr>
      <w:numPr>
        <w:ilvl w:val="5"/>
        <w:numId w:val="1"/>
      </w:numPr>
      <w:ind w:hanging="720" w:start="4320" w:end="0"/>
      <w:outlineLvl w:val="5"/>
    </w:pPr>
    <w:rPr>
      <w:b/>
      <w:bCs/>
      <w:sz w:val="24"/>
      <w:szCs w:val="24"/>
    </w:rPr>
  </w:style>
  <w:style w:type="paragraph" w:styleId="Heading7">
    <w:name w:val="heading 7"/>
    <w:basedOn w:val="Normal"/>
    <w:next w:val="Normal"/>
    <w:qFormat/>
    <w:pPr>
      <w:numPr>
        <w:ilvl w:val="6"/>
        <w:numId w:val="1"/>
      </w:numPr>
      <w:ind w:hanging="720" w:start="5040" w:end="0"/>
      <w:outlineLvl w:val="6"/>
    </w:pPr>
    <w:rPr>
      <w:b/>
      <w:bCs/>
      <w:sz w:val="24"/>
      <w:szCs w:val="24"/>
    </w:rPr>
  </w:style>
  <w:style w:type="paragraph" w:styleId="Heading8">
    <w:name w:val="heading 8"/>
    <w:basedOn w:val="Normal"/>
    <w:next w:val="Normal"/>
    <w:qFormat/>
    <w:pPr>
      <w:numPr>
        <w:ilvl w:val="7"/>
        <w:numId w:val="1"/>
      </w:numPr>
      <w:ind w:hanging="720" w:start="5760" w:end="0"/>
      <w:outlineLvl w:val="7"/>
    </w:pPr>
    <w:rPr>
      <w:b/>
      <w:bCs/>
      <w:sz w:val="24"/>
      <w:szCs w:val="24"/>
    </w:rPr>
  </w:style>
  <w:style w:type="paragraph" w:styleId="Heading9">
    <w:name w:val="heading 9"/>
    <w:basedOn w:val="Normal"/>
    <w:next w:val="Normal"/>
    <w:qFormat/>
    <w:pPr>
      <w:numPr>
        <w:ilvl w:val="8"/>
        <w:numId w:val="1"/>
      </w:numPr>
      <w:ind w:hanging="720" w:start="6480" w:end="0"/>
      <w:outlineLvl w:val="8"/>
    </w:pPr>
    <w:rPr>
      <w:b/>
      <w:bCs/>
      <w:sz w:val="24"/>
      <w:szCs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ieldMark">
    <w:name w:val="FieldMark"/>
    <w:basedOn w:val="DefaultParagraphFont"/>
    <w:qFormat/>
    <w:rPr>
      <w:b/>
      <w:bCs/>
      <w:color w:val="0000FF"/>
    </w:rPr>
  </w:style>
  <w:style w:type="character" w:styleId="OptionalParas">
    <w:name w:val="OptionalParas"/>
    <w:basedOn w:val="DefaultParagraphFont"/>
    <w:qFormat/>
    <w:rPr>
      <w:color w:val="0000FF"/>
    </w:rPr>
  </w:style>
  <w:style w:type="character" w:styleId="Strong">
    <w:name w:val="Strong"/>
    <w:qFormat/>
    <w:rPr>
      <w:b/>
      <w:bCs/>
    </w:rPr>
  </w:style>
  <w:style w:type="character" w:styleId="DocTitle">
    <w:name w:val="DocTitle"/>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z w:val="24"/>
      <w:szCs w:val="24"/>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lang w:val="en-CA"/>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z w:val="24"/>
      <w:szCs w:val="24"/>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z w:val="24"/>
      <w:szCs w:val="24"/>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jc w:val="start"/>
    </w:pPr>
    <w:rPr/>
  </w:style>
  <w:style w:type="paragraph" w:styleId="IndentOneInch">
    <w:name w:val="IndentOneInch"/>
    <w:basedOn w:val="Body"/>
    <w:qFormat/>
    <w:pPr>
      <w:ind w:firstLine="720" w:start="1440" w:end="0"/>
      <w:jc w:val="start"/>
    </w:pPr>
    <w:rPr/>
  </w:style>
  <w:style w:type="paragraph" w:styleId="IndentTwoInches">
    <w:name w:val="IndentTwoInches"/>
    <w:basedOn w:val="Body"/>
    <w:qFormat/>
    <w:pPr>
      <w:ind w:firstLine="720" w:start="2880" w:end="0"/>
      <w:jc w:val="start"/>
    </w:pPr>
    <w:rPr/>
  </w:style>
  <w:style w:type="paragraph" w:styleId="TOC1">
    <w:name w:val="toc 1"/>
    <w:basedOn w:val="Normal"/>
    <w:next w:val="Normal"/>
    <w:pPr>
      <w:tabs>
        <w:tab w:val="left" w:pos="720" w:leader="none"/>
        <w:tab w:val="right" w:pos="9360" w:leader="dot"/>
      </w:tabs>
      <w:spacing w:before="240" w:after="0"/>
      <w:ind w:hanging="720" w:start="720" w:end="1440"/>
    </w:pPr>
    <w:rPr>
      <w:lang w:val="en-CA"/>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lang w:val="en-CA"/>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lang w:val="en-CA"/>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lang w:val="en-CA"/>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1">
    <w:name w:val="Body1"/>
    <w:basedOn w:val="Normal"/>
    <w:qFormat/>
    <w:pPr>
      <w:spacing w:before="0" w:after="240"/>
      <w:ind w:firstLine="1440" w:start="0" w:end="0"/>
    </w:pPr>
    <w:rPr/>
  </w:style>
  <w:style w:type="paragraph" w:styleId="BodyText2">
    <w:name w:val="Body Text 2"/>
    <w:basedOn w:val="Normal"/>
    <w:qFormat/>
    <w:pPr>
      <w:widowControl w:val="false"/>
      <w:jc w:val="both"/>
    </w:pPr>
    <w:rPr>
      <w:rFonts w:ascii="Arial" w:hAnsi="Arial" w:eastAsia="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2000-11-15T16:40:00Z</dcterms:created>
  <dc:creator>Arter &amp; Hadden</dc:creator>
  <dc:description/>
  <dc:language>en-CA</dc:language>
  <cp:lastModifiedBy>Arter &amp; Hadden</cp:lastModifiedBy>
  <cp:lastPrinted>2000-11-15T11:34:00Z</cp:lastPrinted>
  <dcterms:modified xsi:type="dcterms:W3CDTF">2000-11-15T17:03:00Z</dcterms:modified>
  <cp:revision>4</cp:revision>
  <dc:subject/>
  <dc:title>A</dc:title>
</cp:coreProperties>
</file>