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Edison Advice Letter Summary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November 15, 2000</w:t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53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  <w:gridCol w:w="1440"/>
        <w:gridCol w:w="1440"/>
        <w:gridCol w:w="1440"/>
        <w:gridCol w:w="1440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1495-E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11/7/00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11/27/00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Should Be Reviewed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Body"/>
              <w:widowControl/>
              <w:spacing w:before="0" w:after="0"/>
              <w:ind w:hanging="0" w:start="360" w:end="0"/>
              <w:jc w:val="both"/>
              <w:rPr/>
            </w:pPr>
            <w:r>
              <w:rPr/>
              <w:t>This advice letter provides Edison’s version of the net energy metering tariff, in accordance with AB 918.</w:t>
            </w:r>
          </w:p>
        </w:tc>
        <w:tc>
          <w:tcPr>
            <w:tcW w:w="1440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widowControl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Edison Advice Letter Summary</w:t>
    </w:r>
  </w:p>
  <w:p>
    <w:pPr>
      <w:pStyle w:val="Header"/>
      <w:widowControl/>
      <w:rPr/>
    </w:pPr>
    <w:r>
      <w:rPr/>
      <w:t>August 30,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Level1">
    <w:name w:val="Level 1"/>
    <w:basedOn w:val="Normal"/>
    <w:next w:val="Normal"/>
    <w:qFormat/>
    <w:pPr>
      <w:suppressAutoHyphens w:val="true"/>
      <w:spacing w:lineRule="exact" w:line="200" w:before="0" w:after="200"/>
      <w:ind w:hanging="432" w:start="864" w:end="0"/>
    </w:pPr>
    <w:rPr>
      <w:rFonts w:ascii="Arial" w:hAnsi="Arial" w:eastAsia="Arial" w:cs="Arial"/>
      <w:sz w:val="18"/>
      <w:szCs w:val="18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2000-11-15T17:09:00Z</dcterms:created>
  <dc:creator>Arter &amp; Hadden</dc:creator>
  <dc:description/>
  <dc:language>en-CA</dc:language>
  <cp:lastModifiedBy>Arter &amp; Hadden</cp:lastModifiedBy>
  <cp:lastPrinted>2000-11-15T11:39:00Z</cp:lastPrinted>
  <dcterms:modified xsi:type="dcterms:W3CDTF">2000-11-15T17:09:00Z</dcterms:modified>
  <cp:revision>2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ocNumber">
    <vt:lpwstr>1</vt:lpwstr>
  </property>
  <property fmtid="{D5CDD505-2E9C-101B-9397-08002B2CF9AE}" pid="4" name="DocVersion">
    <vt:lpwstr>1</vt:lpwstr>
  </property>
  <property fmtid="{D5CDD505-2E9C-101B-9397-08002B2CF9AE}" pid="5" name="Matter">
    <vt:lpwstr> </vt:lpwstr>
  </property>
</Properties>
</file>