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 FROM MEETING</w:t>
      </w:r>
    </w:p>
    <w:p>
      <w:pPr>
        <w:pStyle w:val="Normal"/>
        <w:jc w:val="center"/>
        <w:rPr/>
      </w:pPr>
      <w:r>
        <w:rPr/>
        <w:t>WEDNESDAY, NOV. 14, 2001</w:t>
      </w:r>
    </w:p>
    <w:p>
      <w:pPr>
        <w:pStyle w:val="Normal"/>
        <w:jc w:val="center"/>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Wed., Nov. 14</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SEC filing stating need for 5 day extension on 10Q</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Wed., Nov. 14</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8K filing (Dynegy and Enron separately filing) with merger agreement (Dynegy filing with summary)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Wed., Nov. 14 (8:30 am)</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Investor update conf call re liquidity, core and noncore businesses, and Whitewing and Marlin structures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Wed., Nov. 14</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Other 8K filings - - update 14A to reflect Ken's waiver and investor call script from today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10Q filing (5 day extension); filing will not be complete (no auditor letter).  Auditors not likely to sign until Special Committee work is complete.  May require more extensive registrations  (S-1) for securities issuances.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 (time t/b/a)</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Bank meeting @ Hyatt in Houston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For the past two years, Enron has used 30-day rolling averages for daily transaction counts and notional value for our wholesale trading activities on EnronOnline due to the normal variability in these numbers on a day-to-day basis.  Due to the unusual events of the last few weeks, we provided some daily information.  However, we intend to again use rolling averages in all communications going forward.  While we saw some decrease in volumes on EnronOnline at the end of last week due to the impending merger announcement, volumes have returned to a normal range and are holding steady at a rolling average of 5,800 transactions with a notional value of $2.7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b/>
                <w:bCs/>
              </w:rPr>
              <w:t>Core Businesses</w:t>
            </w:r>
            <w:r>
              <w:rPr/>
              <w:t xml:space="preserve"> are our consistent franchise businesses for which Enron has a distinct competitive advantage.  These businesses, collectively, generate significant earnings and cash flows for the company.  These businesses include – </w:t>
            </w:r>
          </w:p>
          <w:p>
            <w:pPr>
              <w:pStyle w:val="Normal"/>
              <w:ind w:start="60" w:end="0"/>
              <w:rPr/>
            </w:pPr>
            <w:r>
              <w:rPr/>
            </w:r>
          </w:p>
          <w:p>
            <w:pPr>
              <w:pStyle w:val="Normal"/>
              <w:numPr>
                <w:ilvl w:val="1"/>
                <w:numId w:val="3"/>
              </w:numPr>
              <w:rPr/>
            </w:pPr>
            <w:r>
              <w:rPr/>
              <w:t>Gas &amp; Power businesses in North America &amp; Europe;</w:t>
            </w:r>
          </w:p>
          <w:p>
            <w:pPr>
              <w:pStyle w:val="Normal"/>
              <w:numPr>
                <w:ilvl w:val="1"/>
                <w:numId w:val="3"/>
              </w:numPr>
              <w:rPr/>
            </w:pPr>
            <w:r>
              <w:rPr/>
              <w:t>Coal businesses;</w:t>
            </w:r>
          </w:p>
          <w:p>
            <w:pPr>
              <w:pStyle w:val="Normal"/>
              <w:numPr>
                <w:ilvl w:val="1"/>
                <w:numId w:val="3"/>
              </w:numPr>
              <w:rPr/>
            </w:pPr>
            <w:r>
              <w:rPr/>
              <w:t xml:space="preserve">Retail businesses in North America and Europe; and our </w:t>
            </w:r>
          </w:p>
          <w:p>
            <w:pPr>
              <w:pStyle w:val="Normal"/>
              <w:numPr>
                <w:ilvl w:val="1"/>
                <w:numId w:val="3"/>
              </w:numPr>
              <w:rPr/>
            </w:pPr>
            <w:r>
              <w:rPr/>
              <w:t>Natural Gas Pipeline businesses</w:t>
            </w:r>
          </w:p>
          <w:p>
            <w:pPr>
              <w:pStyle w:val="Normal"/>
              <w:rPr/>
            </w:pPr>
            <w:r>
              <w:rPr/>
            </w:r>
          </w:p>
          <w:p>
            <w:pPr>
              <w:pStyle w:val="Normal"/>
              <w:numPr>
                <w:ilvl w:val="0"/>
                <w:numId w:val="3"/>
              </w:numPr>
              <w:rPr/>
            </w:pPr>
            <w:r>
              <w:rPr>
                <w:b/>
                <w:bCs/>
              </w:rPr>
              <w:t>Non-Core</w:t>
            </w:r>
            <w:r>
              <w:rPr/>
              <w:t xml:space="preserve"> businesses are businesses that do not provide value to Enron’s core businesses.  These primarily are part of our global assets segment and broadband division.  We have over $8 billion invested in these businesses and the return from these investments is dismal.  Accordingly, we plan to exit these businesses in an orderly fashion and expect that the sale of these non-core businesses will generate billions of dollars of cash that Enron will use to repay debt and redeploy into its core businesses.</w:t>
            </w:r>
          </w:p>
          <w:p>
            <w:pPr>
              <w:pStyle w:val="Normal"/>
              <w:rPr/>
            </w:pPr>
            <w:r>
              <w:rPr/>
            </w:r>
          </w:p>
          <w:p>
            <w:pPr>
              <w:pStyle w:val="Normal"/>
              <w:numPr>
                <w:ilvl w:val="0"/>
                <w:numId w:val="3"/>
              </w:numPr>
              <w:rPr/>
            </w:pPr>
            <w:r>
              <w:rPr>
                <w:b/>
                <w:bCs/>
              </w:rPr>
              <w:t>Businesses Under Review</w:t>
            </w:r>
            <w:r>
              <w:rPr/>
              <w:t xml:space="preserve"> are businesses that we believe have strong future prospects, however, under the current environment, we will look closely at the capital requirements and near-term growth prospects of these businesses.  These businesses are primarily our wholesale businesses outside of power and gas which include both our energy-related and industrial markets activities.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3"/>
              </w:numPr>
              <w:rPr/>
            </w:pPr>
            <w:r>
              <w:rPr/>
              <w:t>Timing for these reviews is weeks not months.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We are completing our review of core and non-core businesses</w:t>
            </w:r>
          </w:p>
          <w:p>
            <w:pPr>
              <w:pStyle w:val="Normal"/>
              <w:numPr>
                <w:ilvl w:val="0"/>
                <w:numId w:val="3"/>
              </w:numPr>
              <w:rPr/>
            </w:pPr>
            <w:r>
              <w:rPr/>
              <w:t>We are in the process of finalizing our 2002 budget.  Until that process is complete, it is premature to address 2002 guidance.  We will be back shortly with an assessment of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We don't comment on daily cash balances.</w:t>
            </w:r>
          </w:p>
          <w:p>
            <w:pPr>
              <w:pStyle w:val="Normal"/>
              <w:numPr>
                <w:ilvl w:val="0"/>
                <w:numId w:val="2"/>
              </w:numPr>
              <w:jc w:val="both"/>
              <w:rPr/>
            </w:pPr>
            <w:r>
              <w:rPr/>
              <w:t>But we have taken steps to ensure adequate liquidity.</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New asset sales?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We will proceed with our already announced asset sales plans; we will liquidate these positions in an orderly fashion.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We will continue to pursue equity investment sources.</w:t>
            </w:r>
          </w:p>
          <w:p>
            <w:pPr>
              <w:pStyle w:val="Normal"/>
              <w:numPr>
                <w:ilvl w:val="0"/>
                <w:numId w:val="2"/>
              </w:numPr>
              <w:jc w:val="both"/>
              <w:rPr/>
            </w:pPr>
            <w:r>
              <w:rPr/>
              <w:t>We will not discuss the potential investors or terms.</w:t>
            </w:r>
          </w:p>
          <w:p>
            <w:pPr>
              <w:pStyle w:val="Normal"/>
              <w:numPr>
                <w:ilvl w:val="0"/>
                <w:numId w:val="2"/>
              </w:numPr>
              <w:jc w:val="both"/>
              <w:rPr/>
            </w:pPr>
            <w:r>
              <w:rPr/>
              <w:t>[The merger agreement provides Enron with the flexibility to sell additional equity up to $2 billion.]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 there an obligation to "defease" Marlin and Osprey 120 days in advance?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Standard provision in a share trust transaction.</w:t>
            </w:r>
          </w:p>
          <w:p>
            <w:pPr>
              <w:pStyle w:val="Normal"/>
              <w:numPr>
                <w:ilvl w:val="0"/>
                <w:numId w:val="2"/>
              </w:numPr>
              <w:jc w:val="both"/>
              <w:rPr/>
            </w:pPr>
            <w:r>
              <w:rPr/>
              <w:t>Requirement is to collateralize the obligation in advance of the termination.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was conference call cut short?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The website was in error - - not scheduled as a 90 minute call.</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We will communicate any plans to employees first.</w:t>
            </w:r>
          </w:p>
          <w:p>
            <w:pPr>
              <w:pStyle w:val="Normal"/>
              <w:jc w:val="both"/>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no specific comment on litigation</w:t>
            </w:r>
          </w:p>
          <w:p>
            <w:pPr>
              <w:pStyle w:val="Normal"/>
              <w:numPr>
                <w:ilvl w:val="0"/>
                <w:numId w:val="2"/>
              </w:numPr>
              <w:jc w:val="both"/>
              <w:rPr/>
            </w:pPr>
            <w:r>
              <w:rPr/>
              <w:t>shareholder suits likely to be consolidated</w:t>
            </w:r>
          </w:p>
          <w:p>
            <w:pPr>
              <w:pStyle w:val="Normal"/>
              <w:numPr>
                <w:ilvl w:val="0"/>
                <w:numId w:val="2"/>
              </w:numPr>
              <w:jc w:val="both"/>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pPr>
            <w:r>
              <w:rPr/>
              <w:t>Ken, like many CEOs, has a change in control provision in his contract (and has had one for many years)</w:t>
            </w:r>
          </w:p>
          <w:p>
            <w:pPr>
              <w:pStyle w:val="Normal"/>
              <w:numPr>
                <w:ilvl w:val="0"/>
                <w:numId w:val="2"/>
              </w:numPr>
              <w:rPr/>
            </w:pPr>
            <w:r>
              <w:rPr/>
              <w:t>Ken has elected to waive his right to payment under that provision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Impact of merger on asset sales transactions </w:t>
            </w:r>
          </w:p>
          <w:p>
            <w:pPr>
              <w:pStyle w:val="Normal"/>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Enron will continue with our asset sales program as previously announced.  Those asset sales that have been announced include EcoElectrica, CEG/CEG Rio, EOGIL and Portland General Electric.  These transactions total $800 million plus PGE ($1.55 billion cash, $.25 billion in stock and $1.1 billion in debt)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$1.5 billion received from Dynegy on 11/13/01.</w:t>
            </w:r>
          </w:p>
          <w:p>
            <w:pPr>
              <w:pStyle w:val="Normal"/>
              <w:numPr>
                <w:ilvl w:val="0"/>
                <w:numId w:val="2"/>
              </w:numPr>
              <w:rPr/>
            </w:pPr>
            <w:r>
              <w:rPr/>
              <w:t>Expect $450 million from Chase under secured facility to close today.</w:t>
            </w:r>
          </w:p>
          <w:p>
            <w:pPr>
              <w:pStyle w:val="Normal"/>
              <w:numPr>
                <w:ilvl w:val="0"/>
                <w:numId w:val="2"/>
              </w:numPr>
              <w:rPr/>
            </w:pPr>
            <w:r>
              <w:rPr/>
              <w:t>Expect $550 million balance from Citibank to close next week.</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bl>
    <w:p>
      <w:pPr>
        <w:pStyle w:val="Normal"/>
        <w:rPr/>
      </w:pPr>
      <w:r>
        <w:rPr/>
      </w:r>
      <w:r>
        <w:br w:type="page"/>
      </w:r>
    </w:p>
    <w:p>
      <w:pPr>
        <w:pStyle w:val="Heading1"/>
        <w:keepNext w:val="false"/>
        <w:ind w:hanging="0" w:start="0"/>
        <w:jc w:val="center"/>
        <w:rPr/>
      </w:pP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Mark Palmer</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Julia Murray</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bl>
    <w:p>
      <w:pPr>
        <w:pStyle w:val="Normal"/>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sectPr>
      <w:type w:val="nextPage"/>
      <w:pgSz w:orient="landscape" w:w="15840" w:h="122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5">
    <w:name w:val="WW8Num7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2001-11-14T13:42:00Z</dcterms:created>
  <dc:creator>mmcvick</dc:creator>
  <dc:description/>
  <dc:language>en-CA</dc:language>
  <cp:lastModifiedBy>mmcvick</cp:lastModifiedBy>
  <cp:lastPrinted>2001-11-14T12:21:00Z</cp:lastPrinted>
  <dcterms:modified xsi:type="dcterms:W3CDTF">2001-11-14T17:31:00Z</dcterms:modified>
  <cp:revision>8</cp:revision>
  <dc:subject/>
  <dc:title>MESSAGE POINT FROM MEETING</dc:title>
</cp:coreProperties>
</file>