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160"/>
        <w:rPr>
          <w:spacing w:val="-2"/>
        </w:rPr>
      </w:pPr>
      <w:r>
        <w:fldChar w:fldCharType="begin"/>
      </w:r>
      <w:r>
        <w:rPr>
          <w:spacing w:val="-2"/>
        </w:rPr>
        <w:instrText xml:space="preserve">ADVANCE \U 21.60</w:instrText>
      </w:r>
      <w:r>
        <w:rPr>
          <w:spacing w:val="-2"/>
        </w:rPr>
      </w:r>
      <w:r>
        <w:rPr>
          <w:spacing w:val="-2"/>
        </w:rPr>
        <w:fldChar w:fldCharType="separate"/>
      </w:r>
      <w:r>
        <w:rPr>
          <w:spacing w:val="-2"/>
        </w:rPr>
      </w:r>
      <w:r/>
      <w:r>
        <w:rPr>
          <w:spacing w:val="-2"/>
        </w:rPr>
        <w:fldChar w:fldCharType="end"/>
      </w:r>
      <w:r>
        <w:rPr>
          <w:spacing w:val="-2"/>
        </w:rPr>
      </w:r>
      <w:r>
        <mc:AlternateContent>
          <mc:Choice Requires="wps">
            <w:drawing>
              <wp:anchor behindDoc="0" distT="155575" distB="155575" distL="155575" distR="155575" simplePos="0" locked="0" layoutInCell="0" allowOverlap="1" relativeHeight="2">
                <wp:simplePos x="0" y="0"/>
                <wp:positionH relativeFrom="page">
                  <wp:posOffset>1885950</wp:posOffset>
                </wp:positionH>
                <wp:positionV relativeFrom="paragraph">
                  <wp:posOffset>-367665</wp:posOffset>
                </wp:positionV>
                <wp:extent cx="4109085" cy="1099820"/>
                <wp:effectExtent l="0" t="0" r="0" b="0"/>
                <wp:wrapSquare wrapText="bothSides"/>
                <wp:docPr id="1" name="Frame1"/>
                <a:graphic xmlns:a="http://schemas.openxmlformats.org/drawingml/2006/main">
                  <a:graphicData uri="http://schemas.microsoft.com/office/word/2010/wordprocessingShape">
                    <wps:wsp>
                      <wps:cNvSpPr txBox="1"/>
                      <wps:spPr>
                        <a:xfrm>
                          <a:off x="0" y="0"/>
                          <a:ext cx="4109085" cy="1099820"/>
                        </a:xfrm>
                        <a:prstGeom prst="rect"/>
                        <a:solidFill>
                          <a:srgbClr val="FFFFFF">
                            <a:alpha val="0"/>
                          </a:srgbClr>
                        </a:solidFill>
                        <a:ln w="19050">
                          <a:solidFill>
                            <a:srgbClr val="FFFFFF"/>
                          </a:solidFill>
                        </a:ln>
                      </wps:spPr>
                      <wps:txbx>
                        <w:txbxContent>
                          <w:p>
                            <w:pPr>
                              <w:pStyle w:val="Normal"/>
                              <w:tabs>
                                <w:tab w:val="clear" w:pos="720"/>
                                <w:tab w:val="center" w:pos="4680" w:leader="none"/>
                              </w:tabs>
                              <w:suppressAutoHyphens w:val="true"/>
                              <w:jc w:val="center"/>
                              <w:rPr>
                                <w:b/>
                                <w:bCs/>
                                <w:position w:val="-40"/>
                                <w:sz w:val="32"/>
                                <w:szCs w:val="32"/>
                              </w:rPr>
                            </w:pPr>
                            <w:bookmarkStart w:id="0" w:name="zbkMemoHeading"/>
                            <w:bookmarkEnd w:id="0"/>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wps:txbx>
                      <wps:bodyPr anchor="t" lIns="50800" tIns="76200" rIns="50800" bIns="76200">
                        <a:noAutofit/>
                      </wps:bodyPr>
                    </wps:wsp>
                  </a:graphicData>
                </a:graphic>
              </wp:anchor>
            </w:drawing>
          </mc:Choice>
          <mc:Fallback>
            <w:pict>
              <v:rect fillcolor="#FFFFFF" strokecolor="#FFFFFF" strokeweight="1pt" style="position:absolute;rotation:-0;width:323.55pt;height:86.6pt;mso-wrap-distance-left:12.25pt;mso-wrap-distance-right:12.25pt;mso-wrap-distance-top:12.25pt;mso-wrap-distance-bottom:12.25pt;margin-top:-28.95pt;mso-position-vertical-relative:text;margin-left:148.5pt;mso-position-horizontal-relative:page">
                <v:fill opacity="0f"/>
                <v:textbox inset="0.0555555555555556in,0.0833333333333333in,0.0555555555555556in,0.0833333333333333in">
                  <w:txbxContent>
                    <w:p>
                      <w:pPr>
                        <w:pStyle w:val="Normal"/>
                        <w:tabs>
                          <w:tab w:val="clear" w:pos="720"/>
                          <w:tab w:val="center" w:pos="4680" w:leader="none"/>
                        </w:tabs>
                        <w:suppressAutoHyphens w:val="true"/>
                        <w:jc w:val="center"/>
                        <w:rPr>
                          <w:b/>
                          <w:bCs/>
                          <w:position w:val="-40"/>
                          <w:sz w:val="32"/>
                          <w:szCs w:val="32"/>
                        </w:rPr>
                      </w:pPr>
                      <w:bookmarkStart w:id="1" w:name="zbkMemoHeading"/>
                      <w:bookmarkEnd w:id="1"/>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v:textbox>
                <w10:wrap type="square"/>
              </v:rect>
            </w:pict>
          </mc:Fallback>
        </mc:AlternateContent>
      </w:r>
    </w:p>
    <w:tbl>
      <w:tblPr>
        <w:tblW w:w="9570" w:type="dxa"/>
        <w:jc w:val="start"/>
        <w:tblInd w:w="0" w:type="dxa"/>
        <w:tblLayout w:type="fixed"/>
        <w:tblCellMar>
          <w:top w:w="0" w:type="dxa"/>
          <w:start w:w="120" w:type="dxa"/>
          <w:bottom w:w="0" w:type="dxa"/>
          <w:end w:w="120" w:type="dxa"/>
        </w:tblCellMar>
      </w:tblPr>
      <w:tblGrid>
        <w:gridCol w:w="1470"/>
        <w:gridCol w:w="8100"/>
      </w:tblGrid>
      <w:tr>
        <w:trPr/>
        <w:tc>
          <w:tcPr>
            <w:tcW w:w="9570" w:type="dxa"/>
            <w:gridSpan w:val="2"/>
            <w:tcBorders/>
          </w:tcPr>
          <w:p>
            <w:pPr>
              <w:pStyle w:val="Normal"/>
              <w:tabs>
                <w:tab w:val="clear" w:pos="720"/>
                <w:tab w:val="left" w:pos="-720" w:leader="none"/>
              </w:tabs>
              <w:suppressAutoHyphens w:val="true"/>
              <w:spacing w:before="66" w:after="112"/>
              <w:jc w:val="center"/>
              <w:rPr>
                <w:color w:val="000000"/>
                <w:sz w:val="22"/>
                <w:szCs w:val="22"/>
              </w:rPr>
            </w:pPr>
            <w:r>
              <w:rPr>
                <w:b/>
                <w:bCs/>
                <w:color w:val="000000"/>
                <w:sz w:val="22"/>
                <w:szCs w:val="22"/>
                <w:u w:val="single"/>
              </w:rPr>
              <w:t>PRIVILEGED &amp; CONFIDENTIAL</w:t>
            </w:r>
            <w:r>
              <w:rPr>
                <w:color w:val="000000"/>
                <w:sz w:val="22"/>
                <w:szCs w:val="22"/>
              </w:rPr>
              <w:br/>
            </w:r>
            <w:r>
              <w:rPr>
                <w:b/>
                <w:bCs/>
                <w:color w:val="000000"/>
                <w:sz w:val="22"/>
                <w:szCs w:val="22"/>
                <w:u w:val="single"/>
              </w:rPr>
              <w:t>CONFIDENTIAL:  ATTORNEY-CLIENT</w:t>
            </w:r>
            <w:r>
              <w:rPr>
                <w:color w:val="000000"/>
                <w:sz w:val="22"/>
                <w:szCs w:val="22"/>
              </w:rPr>
              <w:br/>
            </w:r>
            <w:r>
              <w:rPr>
                <w:b/>
                <w:bCs/>
                <w:color w:val="000000"/>
                <w:sz w:val="22"/>
                <w:szCs w:val="22"/>
                <w:u w:val="single"/>
              </w:rPr>
              <w:t>PRIVILEGED COMMUNICATION</w:t>
            </w:r>
            <w:bookmarkStart w:id="2" w:name="bkClause"/>
            <w:bookmarkEnd w:id="2"/>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TO:</w:t>
            </w:r>
          </w:p>
        </w:tc>
        <w:tc>
          <w:tcPr>
            <w:tcW w:w="8100" w:type="dxa"/>
            <w:tcBorders/>
          </w:tcPr>
          <w:p>
            <w:pPr>
              <w:pStyle w:val="zMemoInfo"/>
              <w:suppressAutoHyphens w:val="true"/>
              <w:spacing w:before="66" w:after="112"/>
              <w:jc w:val="start"/>
              <w:rPr/>
            </w:pPr>
            <w:bookmarkStart w:id="3" w:name="bkTo"/>
            <w:bookmarkEnd w:id="3"/>
            <w:r>
              <w:rPr/>
              <w:t>WPTF Board of Directors</w:t>
              <w:br/>
              <w:t>Gary Ackerman</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FROM:</w:t>
            </w:r>
          </w:p>
        </w:tc>
        <w:tc>
          <w:tcPr>
            <w:tcW w:w="8100" w:type="dxa"/>
            <w:tcBorders/>
          </w:tcPr>
          <w:p>
            <w:pPr>
              <w:pStyle w:val="zMemoInfo"/>
              <w:suppressAutoHyphens w:val="true"/>
              <w:spacing w:before="66" w:after="112"/>
              <w:jc w:val="start"/>
              <w:rPr/>
            </w:pPr>
            <w:bookmarkStart w:id="4" w:name="bkFrom"/>
            <w:bookmarkEnd w:id="4"/>
            <w:r>
              <w:rPr/>
              <w:t>Daniel W. Douglass</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DATE:</w:t>
            </w:r>
          </w:p>
        </w:tc>
        <w:tc>
          <w:tcPr>
            <w:tcW w:w="8100" w:type="dxa"/>
            <w:tcBorders/>
          </w:tcPr>
          <w:p>
            <w:pPr>
              <w:pStyle w:val="zMemoInfo"/>
              <w:suppressAutoHyphens w:val="true"/>
              <w:spacing w:before="66" w:after="112"/>
              <w:jc w:val="start"/>
              <w:rPr>
                <w:spacing w:val="-3"/>
              </w:rPr>
            </w:pPr>
            <w:bookmarkStart w:id="5" w:name="bkDate"/>
            <w:r>
              <w:rPr/>
              <w:t xml:space="preserve">November 13, 2000 </w:t>
            </w:r>
            <w:bookmarkEnd w:id="5"/>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CLIENT NO.:</w:t>
            </w:r>
          </w:p>
        </w:tc>
        <w:tc>
          <w:tcPr>
            <w:tcW w:w="8100" w:type="dxa"/>
            <w:tcBorders/>
          </w:tcPr>
          <w:p>
            <w:pPr>
              <w:pStyle w:val="zMemoInfo"/>
              <w:suppressAutoHyphens w:val="true"/>
              <w:spacing w:before="66" w:after="112"/>
              <w:jc w:val="start"/>
              <w:rPr/>
            </w:pPr>
            <w:bookmarkStart w:id="6" w:name="bkFileNo"/>
            <w:bookmarkEnd w:id="6"/>
            <w:r>
              <w:rPr/>
              <w:t>69738/80851</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RE:</w:t>
            </w:r>
          </w:p>
        </w:tc>
        <w:tc>
          <w:tcPr>
            <w:tcW w:w="8100" w:type="dxa"/>
            <w:tcBorders/>
          </w:tcPr>
          <w:p>
            <w:pPr>
              <w:pStyle w:val="zMemoInfo"/>
              <w:suppressAutoHyphens w:val="true"/>
              <w:spacing w:before="66" w:after="112"/>
              <w:jc w:val="start"/>
              <w:rPr/>
            </w:pPr>
            <w:bookmarkStart w:id="7" w:name="bkRe"/>
            <w:bookmarkEnd w:id="7"/>
            <w:r>
              <w:rPr/>
              <w:t>Summary of Current CPUC Proceedings</w:t>
            </w:r>
          </w:p>
        </w:tc>
      </w:tr>
      <w:tr>
        <w:trPr>
          <w:trHeight w:val="240" w:hRule="exact"/>
        </w:trPr>
        <w:tc>
          <w:tcPr>
            <w:tcW w:w="147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spacing w:val="-3"/>
              </w:rPr>
            </w:pPr>
            <w:r>
              <w:rPr>
                <w:color w:val="000000"/>
                <w:spacing w:val="-3"/>
              </w:rPr>
            </w:r>
          </w:p>
        </w:tc>
        <w:tc>
          <w:tcPr>
            <w:tcW w:w="810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color w:val="000000"/>
                <w:spacing w:val="-3"/>
              </w:rPr>
            </w:pPr>
            <w:r>
              <w:rPr/>
            </w:r>
          </w:p>
        </w:tc>
      </w:tr>
    </w:tbl>
    <w:p>
      <w:pPr>
        <w:pStyle w:val="Normal"/>
        <w:tabs>
          <w:tab w:val="clear" w:pos="720"/>
          <w:tab w:val="left" w:pos="-720" w:leader="none"/>
        </w:tabs>
        <w:suppressAutoHyphens w:val="true"/>
        <w:rPr>
          <w:color w:val="000000"/>
          <w:spacing w:val="-3"/>
        </w:rPr>
      </w:pPr>
      <w:r>
        <w:rPr>
          <w:color w:val="000000"/>
          <w:spacing w:val="-3"/>
        </w:rPr>
      </w:r>
    </w:p>
    <w:p>
      <w:pPr>
        <w:pStyle w:val="Body"/>
        <w:rPr/>
      </w:pPr>
      <w:bookmarkStart w:id="8" w:name="bkStart"/>
      <w:bookmarkEnd w:id="8"/>
      <w:r>
        <w:rPr/>
        <w:t>At the request of Roger Pelote and Gary Ackerman, the following is a very brief summary of the status of several outstanding or newly-created CPUC proceedings which are of interest to WPTF:</w:t>
      </w:r>
    </w:p>
    <w:p>
      <w:pPr>
        <w:pStyle w:val="Body"/>
        <w:ind w:hanging="0" w:end="0"/>
        <w:rPr>
          <w:b/>
          <w:bCs/>
        </w:rPr>
      </w:pPr>
      <w:r>
        <w:rPr>
          <w:b/>
          <w:bCs/>
        </w:rPr>
        <w:t>I.  Ongoing Proceedings</w:t>
      </w:r>
    </w:p>
    <w:p>
      <w:pPr>
        <w:pStyle w:val="Body"/>
        <w:ind w:hanging="0" w:start="720" w:end="0"/>
        <w:rPr>
          <w:b/>
          <w:bCs/>
        </w:rPr>
      </w:pPr>
      <w:r>
        <w:rPr>
          <w:b/>
          <w:bCs/>
        </w:rPr>
        <w:t>A.  1999 Revenue Adjustment Proceeding</w:t>
      </w:r>
    </w:p>
    <w:p>
      <w:pPr>
        <w:pStyle w:val="Body"/>
        <w:rPr/>
      </w:pPr>
      <w:r>
        <w:rPr/>
        <w:t>A new revised draft decision was issued by Commissioner Bilas on November 6. The primary way in which it differs from the Neeper alternative is the adoption of a PX credit adder which is differentiated by utility service territory, as opposed to being a uniform statewide number.  Bilas recommends an adder of 0.014 cents/kWh for SDG&amp;E, 0.036 cents/kWh for PG&amp;E, and 0.030 cents/kWh for Edison.  By contrast, Neeper recommended $0.032 cent/kWh for all three utilities.  Comments are due on November 14 and reply comments on November 17.</w:t>
      </w:r>
    </w:p>
    <w:p>
      <w:pPr>
        <w:pStyle w:val="Body"/>
        <w:ind w:hanging="0" w:start="720" w:end="0"/>
        <w:rPr>
          <w:b/>
          <w:bCs/>
        </w:rPr>
      </w:pPr>
      <w:r>
        <w:rPr>
          <w:b/>
          <w:bCs/>
        </w:rPr>
        <w:t>B.  OII Into Electricity Market</w:t>
      </w:r>
    </w:p>
    <w:p>
      <w:pPr>
        <w:pStyle w:val="Body"/>
        <w:rPr/>
      </w:pPr>
      <w:r>
        <w:rPr/>
        <w:t>A Scoping Memo still has not been issued in this proceeding, as the Commission has appeared to hold action in this proceeding until it learned what FERC intended to do in its Section 206 investigation.  Now that FERC has acted (to the displeasure of the CPUC), we may see this beginning to heat up again.</w:t>
      </w:r>
    </w:p>
    <w:p>
      <w:pPr>
        <w:pStyle w:val="Body"/>
        <w:rPr/>
      </w:pPr>
      <w:r>
        <w:rPr/>
        <w:t>On a related matter, WPTF has been served with a subpoena from the Attorney General’s office requesting information related to our membership, past regulatory filings, and other matters related to the CPUC and AG’s investigation.  Gary Ackerman and I will be coordinating our response, which is due on December 13.</w:t>
      </w:r>
      <w:r>
        <w:br w:type="page"/>
      </w:r>
    </w:p>
    <w:p>
      <w:pPr>
        <w:pStyle w:val="Body"/>
        <w:rPr>
          <w:b/>
          <w:bCs/>
        </w:rPr>
      </w:pPr>
      <w:r>
        <w:rPr>
          <w:b/>
          <w:bCs/>
        </w:rPr>
        <w:t>C.  Rate Freeze Petitions</w:t>
      </w:r>
    </w:p>
    <w:p>
      <w:pPr>
        <w:pStyle w:val="Normal"/>
        <w:ind w:firstLine="720" w:end="0"/>
        <w:rPr/>
      </w:pPr>
      <w:r>
        <w:rPr/>
        <w:t>WPTF filed comments last week which supported the Petition for Modification of TURN and opposed those of PG&amp;E and Edison.  TURN seeks modification of Resolution E-3527, in order that the TRA undercollection is applied to the TCBA on a monthly basis, so that any such undercollection is reflected in the utility's transition cost recovery, rather than tracked separately. Reply comments, should we choose to make them, are due on Friday the 17</w:t>
      </w:r>
      <w:r>
        <w:rPr>
          <w:vertAlign w:val="superscript"/>
        </w:rPr>
        <w:t>th</w:t>
      </w:r>
      <w:r>
        <w:rPr/>
        <w:t>.</w:t>
      </w:r>
    </w:p>
    <w:p>
      <w:pPr>
        <w:pStyle w:val="Normal"/>
        <w:ind w:firstLine="720" w:end="0"/>
        <w:rPr/>
      </w:pPr>
      <w:r>
        <w:rPr/>
      </w:r>
    </w:p>
    <w:p>
      <w:pPr>
        <w:pStyle w:val="Body"/>
        <w:numPr>
          <w:ilvl w:val="0"/>
          <w:numId w:val="2"/>
        </w:numPr>
        <w:tabs>
          <w:tab w:val="clear" w:pos="720"/>
          <w:tab w:val="left" w:pos="0" w:leader="none"/>
        </w:tabs>
        <w:ind w:hanging="720" w:start="1440" w:end="0"/>
        <w:rPr>
          <w:b/>
          <w:bCs/>
        </w:rPr>
      </w:pPr>
      <w:r>
        <w:rPr>
          <w:b/>
          <w:bCs/>
        </w:rPr>
        <w:t>PG&amp;E Hydro</w:t>
      </w:r>
    </w:p>
    <w:p>
      <w:pPr>
        <w:pStyle w:val="Normal"/>
        <w:ind w:firstLine="720" w:end="0"/>
        <w:rPr/>
      </w:pPr>
      <w:r>
        <w:rPr/>
        <w:t>A notice regarding how to obtain the draft EIR has been circulated by the utility. Assigned Commissioner Lynch and ALJ Hale issued a ruling on October 16 that new testimony can be filed in the PG&amp;E hydro divestiture proceeding. The ruling notes that testimony was last filed on June 23 and that since that time there have been a series of dramatic market developments.  The ruling directs that PG&amp;E and ORA shall, and other parties may, serve testimony to update the existing record and present further market power studies on December 5.  Other parties may amend their testimony to reflect the market experience of this past summer by serving additional testimony by the same date. Rebuttal testimony may be served on January 14. Finally, a prehearing conference will be held in this proceeding on January 25, 2001.</w:t>
      </w:r>
    </w:p>
    <w:p>
      <w:pPr>
        <w:pStyle w:val="Normal"/>
        <w:ind w:firstLine="720" w:end="0"/>
        <w:rPr/>
      </w:pPr>
      <w:r>
        <w:rPr/>
      </w:r>
    </w:p>
    <w:p>
      <w:pPr>
        <w:pStyle w:val="Normal"/>
        <w:numPr>
          <w:ilvl w:val="0"/>
          <w:numId w:val="3"/>
        </w:numPr>
        <w:tabs>
          <w:tab w:val="clear" w:pos="720"/>
          <w:tab w:val="left" w:pos="0" w:leader="none"/>
        </w:tabs>
        <w:ind w:hanging="360" w:start="1440" w:end="0"/>
        <w:rPr>
          <w:b/>
          <w:bCs/>
        </w:rPr>
      </w:pPr>
      <w:r>
        <w:rPr>
          <w:b/>
          <w:bCs/>
        </w:rPr>
        <w:t>Distributed Generation Proceeding</w:t>
      </w:r>
    </w:p>
    <w:p>
      <w:pPr>
        <w:pStyle w:val="Normal"/>
        <w:rPr>
          <w:b/>
          <w:bCs/>
        </w:rPr>
      </w:pPr>
      <w:r>
        <w:rPr>
          <w:b/>
          <w:bCs/>
        </w:rPr>
      </w:r>
    </w:p>
    <w:p>
      <w:pPr>
        <w:pStyle w:val="Normal"/>
        <w:ind w:firstLine="720" w:end="0"/>
        <w:rPr/>
      </w:pPr>
      <w:r>
        <w:rPr/>
        <w:t>Parties to the proceeding have developed a “final template” for the phase II comparison exhibit. It requires parties to state succinctly their positions with regard to a number of questions dealing with stranded costs, implementation costs, standby charges, interconnection costs, fixer or usage-based charges, distribution-only wheeling rates, exit fees and bypass charges, pricing flexibility, PBR, public purpose program funding, localized/deaveraged rates and credits and the proposed independent clean energy tariff.  ALJ Cooke has directed that the inputs for the comparison exhibit are now due to SCE electronically on or before December 11, 2000. SCE will then complete and submit the comparison exhibit on or before December 18, 2000.  Phase II opening briefs were filed on November 13</w:t>
      </w:r>
      <w:r>
        <w:rPr>
          <w:vertAlign w:val="superscript"/>
        </w:rPr>
        <w:t>th</w:t>
      </w:r>
      <w:r>
        <w:rPr/>
        <w:t>.</w:t>
      </w:r>
    </w:p>
    <w:p>
      <w:pPr>
        <w:pStyle w:val="Normal"/>
        <w:rPr>
          <w:b/>
          <w:bCs/>
        </w:rPr>
      </w:pPr>
      <w:r>
        <w:rPr>
          <w:b/>
          <w:bCs/>
        </w:rPr>
      </w:r>
    </w:p>
    <w:p>
      <w:pPr>
        <w:pStyle w:val="Normal"/>
        <w:ind w:firstLine="720" w:end="0"/>
        <w:rPr>
          <w:b/>
          <w:bCs/>
        </w:rPr>
      </w:pPr>
      <w:r>
        <w:rPr>
          <w:b/>
          <w:bCs/>
        </w:rPr>
        <w:t>F.  Edison Post-Transition Rate Filing</w:t>
      </w:r>
    </w:p>
    <w:p>
      <w:pPr>
        <w:pStyle w:val="Normal"/>
        <w:rPr/>
      </w:pPr>
      <w:r>
        <w:rPr/>
      </w:r>
    </w:p>
    <w:p>
      <w:pPr>
        <w:pStyle w:val="Normal"/>
        <w:ind w:firstLine="720" w:end="0"/>
        <w:rPr/>
      </w:pPr>
      <w:r>
        <w:rPr/>
        <w:t>The ALJ has just released a ruling to the effect that filing dates for this proceeding are delayed for at least another month.  Intervenor testimony will not be due before January 2, 2001, and rebuttal will not be due before January 22, 2001.</w:t>
      </w:r>
    </w:p>
    <w:p>
      <w:pPr>
        <w:pStyle w:val="Normal"/>
        <w:ind w:start="720" w:end="0"/>
        <w:rPr/>
      </w:pPr>
      <w:r>
        <w:rPr/>
      </w:r>
    </w:p>
    <w:p>
      <w:pPr>
        <w:pStyle w:val="Normal"/>
        <w:ind w:start="720" w:end="0"/>
        <w:rPr/>
      </w:pPr>
      <w:r>
        <w:rPr/>
      </w:r>
    </w:p>
    <w:p>
      <w:pPr>
        <w:pStyle w:val="Normal"/>
        <w:numPr>
          <w:ilvl w:val="0"/>
          <w:numId w:val="4"/>
        </w:numPr>
        <w:tabs>
          <w:tab w:val="clear" w:pos="720"/>
          <w:tab w:val="left" w:pos="0" w:leader="none"/>
        </w:tabs>
        <w:ind w:hanging="360" w:start="720" w:end="0"/>
        <w:rPr>
          <w:b/>
          <w:bCs/>
        </w:rPr>
      </w:pPr>
      <w:r>
        <w:rPr>
          <w:b/>
          <w:bCs/>
        </w:rPr>
        <w:t>New Proceedings</w:t>
      </w:r>
    </w:p>
    <w:p>
      <w:pPr>
        <w:pStyle w:val="Normal"/>
        <w:rPr>
          <w:b/>
          <w:bCs/>
        </w:rPr>
      </w:pPr>
      <w:r>
        <w:rPr>
          <w:b/>
          <w:bCs/>
        </w:rPr>
      </w:r>
    </w:p>
    <w:p>
      <w:pPr>
        <w:pStyle w:val="Normal"/>
        <w:numPr>
          <w:ilvl w:val="0"/>
          <w:numId w:val="5"/>
        </w:numPr>
        <w:tabs>
          <w:tab w:val="clear" w:pos="720"/>
          <w:tab w:val="left" w:pos="0" w:leader="none"/>
        </w:tabs>
        <w:ind w:hanging="360" w:start="1440" w:end="0"/>
        <w:rPr>
          <w:b/>
          <w:bCs/>
        </w:rPr>
      </w:pPr>
      <w:r>
        <w:rPr>
          <w:b/>
          <w:bCs/>
        </w:rPr>
        <w:t>Transmission OII</w:t>
      </w:r>
    </w:p>
    <w:p>
      <w:pPr>
        <w:pStyle w:val="Normal"/>
        <w:rPr>
          <w:b/>
          <w:bCs/>
        </w:rPr>
      </w:pPr>
      <w:r>
        <w:rPr>
          <w:b/>
          <w:bCs/>
        </w:rPr>
      </w:r>
    </w:p>
    <w:p>
      <w:pPr>
        <w:pStyle w:val="Normal"/>
        <w:rPr/>
      </w:pPr>
      <w:r>
        <w:rPr>
          <w:b/>
          <w:bCs/>
        </w:rPr>
        <w:tab/>
      </w:r>
      <w:r>
        <w:rPr/>
        <w:t xml:space="preserve">The CPUC has commenced, “an investigation of the state’s transmission and electric generation system reliability pursuant to AB 970.” The OII will also look into, “utility acquisition of new peaking generation reosurces for Summer 2001 and beyond.” The OII notes that the state currently has a, “mismatch between supply and demand statewide and in specific geographic areas.” An appendix to the OII lists various system upgrades which may require improvements. The investigation, “will examine the most cost-effective ways of easing transmission constraints and associated generation shortfalls, both in the short term and the longer term.” </w:t>
      </w:r>
    </w:p>
    <w:p>
      <w:pPr>
        <w:pStyle w:val="Normal"/>
        <w:ind w:firstLine="720" w:end="0"/>
        <w:rPr>
          <w:b/>
          <w:bCs/>
        </w:rPr>
      </w:pPr>
      <w:r>
        <w:rPr/>
        <w:t>The OII notes the ISO’s RFP for 2,00 MW of peaking capacity, complains that the terms of such deals are to be kept confidential until the contracts are signed, and concludes that, “contract terms that offer project proponents market prices plus full capacity costs appear exorbitant, especially if, as we understand, the ISO’s contracts do not commit the power to be available to serve the state’s interests.” The OII challenges ISO’s authority, “to plan, solicit and pay for construction of new power plants across the state, absent some substantial involvement of agencies that represent the state’s interests.” In other words, as noted in an article from today’s Electricity Daily, we now have a “turf war” between the CPUC and ISO.  The three utilities are directed to file a cost/benefit analysis on new transmission upgrades as well as their own ability to build new peaking generation for next summer. Their responses are due Nov. 22. ISO and other interested parties have until December 20 to files analyses and comments on the utilities’ November 22 filings. WPTF needs to decide if it wishes to become involved.</w:t>
      </w:r>
    </w:p>
    <w:p>
      <w:pPr>
        <w:pStyle w:val="Normal"/>
        <w:ind w:firstLine="720" w:end="0"/>
        <w:rPr>
          <w:b/>
          <w:bCs/>
        </w:rPr>
      </w:pPr>
      <w:r>
        <w:rPr>
          <w:b/>
          <w:bCs/>
        </w:rPr>
      </w:r>
    </w:p>
    <w:p>
      <w:pPr>
        <w:pStyle w:val="Normal"/>
        <w:numPr>
          <w:ilvl w:val="0"/>
          <w:numId w:val="6"/>
        </w:numPr>
        <w:tabs>
          <w:tab w:val="clear" w:pos="720"/>
          <w:tab w:val="left" w:pos="0" w:leader="none"/>
        </w:tabs>
        <w:ind w:hanging="360" w:start="1440" w:end="0"/>
        <w:rPr>
          <w:b/>
          <w:bCs/>
        </w:rPr>
      </w:pPr>
      <w:r>
        <w:rPr>
          <w:b/>
          <w:bCs/>
        </w:rPr>
        <w:t>Interruptible Programs OII</w:t>
      </w:r>
    </w:p>
    <w:p>
      <w:pPr>
        <w:pStyle w:val="Normal"/>
        <w:rPr>
          <w:b/>
          <w:bCs/>
        </w:rPr>
      </w:pPr>
      <w:r>
        <w:rPr>
          <w:b/>
          <w:bCs/>
        </w:rPr>
      </w:r>
    </w:p>
    <w:p>
      <w:pPr>
        <w:pStyle w:val="Normal"/>
        <w:rPr>
          <w:b/>
          <w:bCs/>
        </w:rPr>
      </w:pPr>
      <w:r>
        <w:rPr>
          <w:b/>
          <w:bCs/>
        </w:rPr>
        <w:tab/>
      </w:r>
      <w:r>
        <w:rPr/>
        <w:t>The Commission has issued an OII into the interruptible programs of all three utilities. A PHC will be held at 10:00 a.m. on November 17, 2000, at the Commission.  WPTF needs to decide if it wishes to become involved.</w:t>
      </w:r>
    </w:p>
    <w:p>
      <w:pPr>
        <w:pStyle w:val="Normal"/>
        <w:rPr>
          <w:b/>
          <w:bCs/>
        </w:rPr>
      </w:pPr>
      <w:r>
        <w:rPr>
          <w:b/>
          <w:bCs/>
        </w:rPr>
      </w:r>
    </w:p>
    <w:p>
      <w:pPr>
        <w:pStyle w:val="Normal"/>
        <w:rPr>
          <w:b/>
          <w:bCs/>
        </w:rPr>
      </w:pPr>
      <w:r>
        <w:rPr>
          <w:b/>
          <w:bCs/>
        </w:rPr>
        <w:tab/>
        <w:t>C.  Edison Rule 22 Petition for Modification</w:t>
      </w:r>
    </w:p>
    <w:p>
      <w:pPr>
        <w:pStyle w:val="Normal"/>
        <w:rPr>
          <w:b/>
          <w:bCs/>
        </w:rPr>
      </w:pPr>
      <w:r>
        <w:rPr>
          <w:b/>
          <w:bCs/>
        </w:rPr>
      </w:r>
    </w:p>
    <w:p>
      <w:pPr>
        <w:pStyle w:val="Normal"/>
        <w:ind w:firstLine="720" w:end="0"/>
        <w:rPr/>
      </w:pPr>
      <w:r>
        <w:rPr/>
        <w:t>Edison has just circulated a draft Petition for Modification of the Direct Access Tariff decision to modify Rule 22.  The proposed changes attempt to provide more detail in the direct access tariff regarding what should occur if an Energy Service Provider loses its Scheduling Coordinator.</w:t>
      </w:r>
    </w:p>
    <w:p>
      <w:pPr>
        <w:pStyle w:val="Normal"/>
        <w:rPr>
          <w:b/>
          <w:bCs/>
        </w:rPr>
      </w:pPr>
      <w:r>
        <w:rPr>
          <w:b/>
          <w:bCs/>
        </w:rPr>
      </w:r>
    </w:p>
    <w:p>
      <w:pPr>
        <w:pStyle w:val="Normal"/>
        <w:rPr>
          <w:b/>
          <w:bCs/>
        </w:rPr>
      </w:pPr>
      <w:r>
        <w:rPr>
          <w:b/>
          <w:bCs/>
        </w:rPr>
      </w:r>
    </w:p>
    <w:p>
      <w:pPr>
        <w:pStyle w:val="Normal"/>
        <w:rPr>
          <w:b/>
          <w:bCs/>
        </w:rPr>
      </w:pPr>
      <w:r>
        <w:rPr>
          <w:b/>
          <w:bCs/>
        </w:rPr>
        <w:t>III.  Lawsuits</w:t>
      </w:r>
    </w:p>
    <w:p>
      <w:pPr>
        <w:pStyle w:val="Normal"/>
        <w:rPr>
          <w:b/>
          <w:bCs/>
        </w:rPr>
      </w:pPr>
      <w:r>
        <w:rPr>
          <w:b/>
          <w:bCs/>
        </w:rPr>
      </w:r>
    </w:p>
    <w:p>
      <w:pPr>
        <w:pStyle w:val="Normal"/>
        <w:rPr>
          <w:b/>
          <w:bCs/>
        </w:rPr>
      </w:pPr>
      <w:r>
        <w:rPr>
          <w:b/>
          <w:bCs/>
        </w:rPr>
        <w:tab/>
        <w:t>A.  PG&amp;E Undercollection</w:t>
      </w:r>
    </w:p>
    <w:p>
      <w:pPr>
        <w:pStyle w:val="Normal"/>
        <w:rPr>
          <w:b/>
          <w:bCs/>
        </w:rPr>
      </w:pPr>
      <w:r>
        <w:rPr>
          <w:b/>
          <w:bCs/>
        </w:rPr>
      </w:r>
    </w:p>
    <w:p>
      <w:pPr>
        <w:pStyle w:val="Normal"/>
        <w:ind w:firstLine="720" w:end="0"/>
        <w:rPr/>
      </w:pPr>
      <w:r>
        <w:rPr/>
        <w:t xml:space="preserve">PG&amp;E has asked a federal court in San Francisco for permission to recoup some $3.44 billion in excess charges from its ratepayers. The utility said court intervention was necessary, “to protect the company’s legal rights.” </w:t>
      </w:r>
    </w:p>
    <w:sectPr>
      <w:headerReference w:type="default" r:id="rId2"/>
      <w:headerReference w:type="first" r:id="rId3"/>
      <w:footerReference w:type="default" r:id="rId4"/>
      <w:footerReference w:type="first" r:id="rId5"/>
      <w:type w:val="nextPage"/>
      <w:pgSz w:w="12240" w:h="15840"/>
      <w:pgMar w:left="1440" w:right="1440" w:gutter="0" w:header="864"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540"/>
      <w:gridCol w:w="2880"/>
    </w:tblGrid>
    <w:tr>
      <w:trPr/>
      <w:tc>
        <w:tcPr>
          <w:tcW w:w="3048" w:type="dxa"/>
          <w:tcBorders/>
        </w:tcPr>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69738</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80851</w:t>
          </w:r>
          <w:r>
            <w:rPr>
              <w:rStyle w:val="FooterTxt"/>
            </w:rPr>
            <w:fldChar w:fldCharType="end"/>
          </w:r>
        </w:p>
      </w:tc>
      <w:tc>
        <w:tcPr>
          <w:tcW w:w="3540" w:type="dxa"/>
          <w:tcBorders/>
        </w:tcPr>
        <w:p>
          <w:pPr>
            <w:pStyle w:val="Foot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2880" w:type="dxa"/>
          <w:tcBorders/>
        </w:tcPr>
        <w:p>
          <w:pPr>
            <w:pStyle w:val="Footer"/>
            <w:tabs>
              <w:tab w:val="clear" w:pos="4320"/>
              <w:tab w:val="clear" w:pos="8640"/>
            </w:tabs>
            <w:snapToGrid w:val="false"/>
            <w:jc w:val="end"/>
            <w:rPr/>
          </w:pPr>
          <w:r>
            <w:rPr/>
          </w:r>
        </w:p>
      </w:tc>
    </w:tr>
  </w:tbl>
  <w:p>
    <w:pPr>
      <w:pStyle w:val="Footer"/>
      <w:tabs>
        <w:tab w:val="clear" w:pos="4320"/>
        <w:tab w:val="clear" w:pos="8640"/>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630"/>
      <w:gridCol w:w="2790"/>
    </w:tblGrid>
    <w:tr>
      <w:trPr/>
      <w:tc>
        <w:tcPr>
          <w:tcW w:w="3048" w:type="dxa"/>
          <w:tcBorders/>
        </w:tcPr>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69738</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80851</w:t>
          </w:r>
          <w:r>
            <w:rPr>
              <w:rStyle w:val="FooterTxt"/>
            </w:rPr>
            <w:fldChar w:fldCharType="end"/>
          </w:r>
        </w:p>
      </w:tc>
      <w:tc>
        <w:tcPr>
          <w:tcW w:w="3630" w:type="dxa"/>
          <w:tcBorders/>
        </w:tcPr>
        <w:p>
          <w:pPr>
            <w:pStyle w:val="Footer"/>
            <w:tabs>
              <w:tab w:val="clear" w:pos="4320"/>
              <w:tab w:val="clear" w:pos="8640"/>
            </w:tabs>
            <w:snapToGrid w:val="false"/>
            <w:jc w:val="center"/>
            <w:rPr>
              <w:rStyle w:val="FooterTxt"/>
            </w:rPr>
          </w:pPr>
          <w:r>
            <w:rPr/>
          </w:r>
        </w:p>
      </w:tc>
      <w:tc>
        <w:tcPr>
          <w:tcW w:w="2790" w:type="dxa"/>
          <w:tcBorders/>
        </w:tcPr>
        <w:p>
          <w:pPr>
            <w:pStyle w:val="Footer"/>
            <w:tabs>
              <w:tab w:val="clear" w:pos="4320"/>
              <w:tab w:val="clear" w:pos="8640"/>
            </w:tabs>
            <w:snapToGrid w:val="false"/>
            <w:jc w:val="center"/>
            <w:rPr>
              <w:rStyle w:val="FooterTxt"/>
            </w:rPr>
          </w:pPr>
          <w:r>
            <w:rPr/>
          </w:r>
        </w:p>
      </w:tc>
    </w:tr>
  </w:tbl>
  <w:p>
    <w:pPr>
      <w:pStyle w:val="Footer"/>
      <w:tabs>
        <w:tab w:val="clear" w:pos="4320"/>
        <w:tab w:val="clear" w:pos="8640"/>
      </w:tabs>
      <w:rPr>
        <w:rStyle w:val="FooterT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Roman"/>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72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zMemoHdg">
    <w:name w:val="zMemoHdg"/>
    <w:basedOn w:val="DefaultParagraphFont"/>
    <w:qFormat/>
    <w:rPr>
      <w:rFonts w:ascii="Times New Roman" w:hAnsi="Times New Roman" w:eastAsia="Times New Roman" w:cs="Times New Roman"/>
      <w:color w:val="000000"/>
      <w:sz w:val="24"/>
      <w:szCs w:val="24"/>
      <w:lang w:val="en-US"/>
    </w:rPr>
  </w:style>
  <w:style w:type="character" w:styleId="PageNumber">
    <w:name w:val="page number"/>
    <w:basedOn w:val="DefaultParagraphFont"/>
    <w:rPr>
      <w:sz w:val="24"/>
      <w:szCs w:val="24"/>
    </w:rPr>
  </w:style>
  <w:style w:type="character" w:styleId="FooterTxt">
    <w:name w:val="FooterTxt"/>
    <w:basedOn w:val="DefaultParagraphFont"/>
    <w:qFormat/>
    <w:rPr>
      <w:sz w:val="15"/>
      <w:szCs w:val="15"/>
    </w:rPr>
  </w:style>
  <w:style w:type="character" w:styleId="DocTitle">
    <w:name w:val="DocTitle"/>
    <w:basedOn w:val="DefaultParagraphFont"/>
    <w:qFormat/>
    <w:rPr>
      <w:b/>
      <w:bCs/>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Hyperlink">
    <w:name w:val="Hyperlink"/>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tabs>
        <w:tab w:val="clear" w:pos="720"/>
        <w:tab w:val="left" w:pos="360" w:leader="none"/>
      </w:tabs>
      <w:spacing w:before="0" w:after="240"/>
    </w:pPr>
    <w:rPr>
      <w:sz w:val="20"/>
      <w:szCs w:val="20"/>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able">
    <w:name w:val="Table"/>
    <w:basedOn w:val="Normal"/>
    <w:qFormat/>
    <w:pPr>
      <w:spacing w:before="40" w:after="40"/>
    </w:pPr>
    <w:rPr/>
  </w:style>
  <w:style w:type="paragraph" w:styleId="HeadingTitle">
    <w:name w:val="Heading Title"/>
    <w:basedOn w:val="Normal"/>
    <w:next w:val="Body"/>
    <w:qFormat/>
    <w:pPr>
      <w:keepNext w:val="true"/>
      <w:keepLines/>
      <w:spacing w:before="0" w:after="240"/>
      <w:jc w:val="center"/>
    </w:pPr>
    <w:rPr>
      <w:u w:val="single"/>
    </w:rPr>
  </w:style>
  <w:style w:type="paragraph" w:styleId="TOAHeading">
    <w:name w:val="TOA Heading"/>
    <w:basedOn w:val="Normal"/>
    <w:next w:val="Normal"/>
    <w:qFormat/>
    <w:pPr>
      <w:tabs>
        <w:tab w:val="clear" w:pos="720"/>
        <w:tab w:val="right" w:pos="9360" w:leader="none"/>
      </w:tabs>
      <w:suppressAutoHyphens w:val="true"/>
    </w:pPr>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spacing w:before="0" w:after="240"/>
      <w:ind w:firstLine="720" w:start="0" w:end="0"/>
    </w:pPr>
    <w:rPr/>
  </w:style>
  <w:style w:type="paragraph" w:styleId="BodyFlush">
    <w:name w:val="BodyFlush"/>
    <w:basedOn w:val="Normal"/>
    <w:qFormat/>
    <w:pPr>
      <w:spacing w:before="240" w:after="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720" w:end="0"/>
    </w:pPr>
    <w:rPr/>
  </w:style>
  <w:style w:type="paragraph" w:styleId="Body1">
    <w:name w:val="Body1"/>
    <w:basedOn w:val="Normal"/>
    <w:qFormat/>
    <w:pPr>
      <w:spacing w:before="0" w:after="240"/>
      <w:ind w:firstLine="1440" w:start="0" w:end="0"/>
    </w:pPr>
    <w:rPr/>
  </w:style>
  <w:style w:type="paragraph" w:styleId="Center">
    <w:name w:val="Center"/>
    <w:basedOn w:val="Normal"/>
    <w:qFormat/>
    <w:pPr>
      <w:keepNext w:val="true"/>
      <w:keepLines/>
      <w:suppressAutoHyphens w:val="true"/>
      <w:spacing w:before="0" w:after="240"/>
      <w:jc w:val="center"/>
    </w:pPr>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zCC">
    <w:name w:val="zCC"/>
    <w:basedOn w:val="Body"/>
    <w:qFormat/>
    <w:pPr>
      <w:ind w:hanging="720" w:start="720" w:end="0"/>
    </w:pPr>
    <w:rPr/>
  </w:style>
  <w:style w:type="paragraph" w:styleId="zMemoInfo">
    <w:name w:val="zMemoInfo"/>
    <w:basedOn w:val="Normal"/>
    <w:qFormat/>
    <w:pPr>
      <w:suppressAutoHyphens w:val="true"/>
      <w:spacing w:before="66" w:after="112"/>
      <w:jc w:val="star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2000-11-13T22:51:00Z</dcterms:created>
  <dc:creator>Arter &amp; Hadden</dc:creator>
  <dc:description/>
  <dc:language>en-CA</dc:language>
  <cp:lastModifiedBy>Arter &amp; Hadden</cp:lastModifiedBy>
  <cp:lastPrinted>2000-11-13T17:49:00Z</cp:lastPrinted>
  <dcterms:modified xsi:type="dcterms:W3CDTF">2000-11-16T16:55:00Z</dcterms:modified>
  <cp:revision>13</cp:revision>
  <dc:subject/>
  <dc:title>ARTER &amp; HADDEN LLP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69738</vt:lpwstr>
  </property>
  <property fmtid="{D5CDD505-2E9C-101B-9397-08002B2CF9AE}" pid="3" name="DocNumber">
    <vt:lpwstr>1</vt:lpwstr>
  </property>
  <property fmtid="{D5CDD505-2E9C-101B-9397-08002B2CF9AE}" pid="4" name="DocVersion">
    <vt:lpwstr>1</vt:lpwstr>
  </property>
  <property fmtid="{D5CDD505-2E9C-101B-9397-08002B2CF9AE}" pid="5" name="Matter">
    <vt:lpwstr>80851</vt:lpwstr>
  </property>
</Properties>
</file>