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r>
        <mc:AlternateContent>
          <mc:Choice Requires="wps">
            <w:drawing>
              <wp:anchor behindDoc="0" distT="0" distB="0" distL="118745" distR="118745" simplePos="0" locked="0" layoutInCell="0" allowOverlap="1" relativeHeight="2">
                <wp:simplePos x="0" y="0"/>
                <wp:positionH relativeFrom="page">
                  <wp:posOffset>915035</wp:posOffset>
                </wp:positionH>
                <wp:positionV relativeFrom="page">
                  <wp:posOffset>1097915</wp:posOffset>
                </wp:positionV>
                <wp:extent cx="1874520" cy="502920"/>
                <wp:effectExtent l="0" t="0" r="0" b="0"/>
                <wp:wrapSquare wrapText="bothSides"/>
                <wp:docPr id="1" name="Frame1"/>
                <a:graphic xmlns:a="http://schemas.openxmlformats.org/drawingml/2006/main">
                  <a:graphicData uri="http://schemas.microsoft.com/office/word/2010/wordprocessingShape">
                    <wps:wsp>
                      <wps:cNvSpPr txBox="1"/>
                      <wps:spPr>
                        <a:xfrm>
                          <a:off x="0" y="0"/>
                          <a:ext cx="1874520" cy="502920"/>
                        </a:xfrm>
                        <a:prstGeom prst="rect"/>
                        <a:solidFill>
                          <a:srgbClr val="FFFFFF">
                            <a:alpha val="0"/>
                          </a:srgbClr>
                        </a:solidFill>
                      </wps:spPr>
                      <wps:txbx>
                        <w:txbxContent>
                          <w:p>
                            <w:pPr>
                              <w:pStyle w:val="Normal"/>
                              <w:tabs>
                                <w:tab w:val="clear" w:pos="720"/>
                                <w:tab w:val="left" w:pos="360" w:leader="none"/>
                              </w:tabs>
                              <w:ind w:end="1440"/>
                              <w:jc w:val="both"/>
                              <w:rPr>
                                <w:rFonts w:ascii="Univers (WN)" w:hAnsi="Univers (WN)" w:eastAsia="Univers (WN)" w:cs="Univers (WN)"/>
                                <w:color w:val="C0C0C0"/>
                              </w:rPr>
                            </w:pPr>
                            <w:bookmarkStart w:id="0" w:name="LetterHead"/>
                            <w:bookmarkEnd w:id="0"/>
                            <w:r>
                              <w:rPr>
                                <w:rFonts w:eastAsia="Univers (WN)" w:cs="Univers (WN)" w:ascii="Univers (WN)" w:hAnsi="Univers (WN)"/>
                                <w:color w:val="C0C0C0"/>
                              </w:rPr>
                              <w:drawing>
                                <wp:inline distT="0" distB="0" distL="0" distR="0">
                                  <wp:extent cx="1873250" cy="451485"/>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tretch>
                                            <a:fillRect/>
                                          </a:stretch>
                                        </pic:blipFill>
                                        <pic:spPr bwMode="auto">
                                          <a:xfrm>
                                            <a:off x="0" y="0"/>
                                            <a:ext cx="1873250" cy="451485"/>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147.6pt;height:39.6pt;mso-wrap-distance-left:9.35pt;mso-wrap-distance-right:9.35pt;mso-wrap-distance-top:0pt;mso-wrap-distance-bottom:0pt;margin-top:86.45pt;mso-position-vertical-relative:page;margin-left:72.05pt;mso-position-horizontal-relative:page">
                <v:fill opacity="0f"/>
                <v:textbox inset="0in,0in,0in,0in">
                  <w:txbxContent>
                    <w:p>
                      <w:pPr>
                        <w:pStyle w:val="Normal"/>
                        <w:tabs>
                          <w:tab w:val="clear" w:pos="720"/>
                          <w:tab w:val="left" w:pos="360" w:leader="none"/>
                        </w:tabs>
                        <w:ind w:end="1440"/>
                        <w:jc w:val="both"/>
                        <w:rPr>
                          <w:rFonts w:ascii="Univers (WN)" w:hAnsi="Univers (WN)" w:eastAsia="Univers (WN)" w:cs="Univers (WN)"/>
                          <w:color w:val="C0C0C0"/>
                        </w:rPr>
                      </w:pPr>
                      <w:bookmarkStart w:id="1" w:name="LetterHead"/>
                      <w:bookmarkEnd w:id="1"/>
                      <w:r>
                        <w:rPr>
                          <w:rFonts w:eastAsia="Univers (WN)" w:cs="Univers (WN)" w:ascii="Univers (WN)" w:hAnsi="Univers (WN)"/>
                          <w:color w:val="C0C0C0"/>
                        </w:rPr>
                        <w:drawing>
                          <wp:inline distT="0" distB="0" distL="0" distR="0">
                            <wp:extent cx="1873250" cy="451485"/>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tretch>
                                      <a:fillRect/>
                                    </a:stretch>
                                  </pic:blipFill>
                                  <pic:spPr bwMode="auto">
                                    <a:xfrm>
                                      <a:off x="0" y="0"/>
                                      <a:ext cx="1873250" cy="451485"/>
                                    </a:xfrm>
                                    <a:prstGeom prst="rect">
                                      <a:avLst/>
                                    </a:prstGeom>
                                    <a:noFill/>
                                  </pic:spPr>
                                </pic:pic>
                              </a:graphicData>
                            </a:graphic>
                          </wp:inline>
                        </w:drawing>
                      </w:r>
                    </w:p>
                  </w:txbxContent>
                </v:textbox>
                <w10:wrap type="square"/>
              </v:rect>
            </w:pict>
          </mc:Fallback>
        </mc:AlternateContent>
      </w:r>
      <w:r>
        <mc:AlternateContent>
          <mc:Choice Requires="wps">
            <w:drawing>
              <wp:anchor behindDoc="0" distT="0" distB="0" distL="118745" distR="118745" simplePos="0" locked="0" layoutInCell="0" allowOverlap="1" relativeHeight="4">
                <wp:simplePos x="0" y="0"/>
                <wp:positionH relativeFrom="page">
                  <wp:posOffset>526415</wp:posOffset>
                </wp:positionH>
                <wp:positionV relativeFrom="page">
                  <wp:posOffset>302260</wp:posOffset>
                </wp:positionV>
                <wp:extent cx="6926580" cy="1397000"/>
                <wp:effectExtent l="0" t="0" r="0" b="0"/>
                <wp:wrapTopAndBottom/>
                <wp:docPr id="4" name="Frame2"/>
                <a:graphic xmlns:a="http://schemas.openxmlformats.org/drawingml/2006/main">
                  <a:graphicData uri="http://schemas.microsoft.com/office/word/2010/wordprocessingShape">
                    <wps:wsp>
                      <wps:cNvSpPr txBox="1"/>
                      <wps:spPr>
                        <a:xfrm>
                          <a:off x="0" y="0"/>
                          <a:ext cx="6926580" cy="1397000"/>
                        </a:xfrm>
                        <a:prstGeom prst="rect"/>
                        <a:solidFill>
                          <a:srgbClr val="FFFFFF">
                            <a:alpha val="0"/>
                          </a:srgbClr>
                        </a:solidFill>
                      </wps:spPr>
                      <wps:txbx>
                        <w:txbxContent>
                          <w:tbl>
                            <w:tblPr>
                              <w:tblW w:w="10908" w:type="dxa"/>
                              <w:jc w:val="start"/>
                              <w:tblInd w:w="108" w:type="dxa"/>
                              <w:tblLayout w:type="fixed"/>
                              <w:tblCellMar>
                                <w:top w:w="0" w:type="dxa"/>
                                <w:start w:w="108" w:type="dxa"/>
                                <w:bottom w:w="0" w:type="dxa"/>
                                <w:end w:w="108" w:type="dxa"/>
                              </w:tblCellMar>
                            </w:tblPr>
                            <w:tblGrid>
                              <w:gridCol w:w="7578"/>
                              <w:gridCol w:w="3330"/>
                            </w:tblGrid>
                            <w:tr>
                              <w:trPr>
                                <w:trHeight w:val="200" w:hRule="exact"/>
                              </w:trPr>
                              <w:tc>
                                <w:tcPr>
                                  <w:tcW w:w="7578" w:type="dxa"/>
                                  <w:tcBorders/>
                                </w:tcPr>
                                <w:p>
                                  <w:pPr>
                                    <w:pStyle w:val="LetHead"/>
                                    <w:tabs>
                                      <w:tab w:val="clear" w:pos="4320"/>
                                      <w:tab w:val="right" w:pos="8640" w:leader="none"/>
                                    </w:tabs>
                                    <w:snapToGrid w:val="false"/>
                                    <w:rPr>
                                      <w:b/>
                                      <w:bCs/>
                                    </w:rPr>
                                  </w:pPr>
                                  <w:r>
                                    <w:rPr>
                                      <w:b/>
                                      <w:bCs/>
                                    </w:rPr>
                                  </w:r>
                                </w:p>
                              </w:tc>
                              <w:tc>
                                <w:tcPr>
                                  <w:tcW w:w="3330" w:type="dxa"/>
                                  <w:tcBorders/>
                                </w:tcPr>
                                <w:p>
                                  <w:pPr>
                                    <w:pStyle w:val="LetHead"/>
                                    <w:rPr>
                                      <w:b/>
                                      <w:bCs/>
                                    </w:rPr>
                                  </w:pPr>
                                  <w:bookmarkStart w:id="2" w:name="UserData1"/>
                                  <w:bookmarkEnd w:id="2"/>
                                  <w:r>
                                    <w:rPr>
                                      <w:b/>
                                      <w:bCs/>
                                    </w:rPr>
                                    <w:t>The Potter Roberts Group</w:t>
                                  </w:r>
                                </w:p>
                              </w:tc>
                            </w:tr>
                            <w:tr>
                              <w:trPr>
                                <w:trHeight w:val="200" w:hRule="exact"/>
                              </w:trPr>
                              <w:tc>
                                <w:tcPr>
                                  <w:tcW w:w="7578" w:type="dxa"/>
                                  <w:tcBorders/>
                                </w:tcPr>
                                <w:p>
                                  <w:pPr>
                                    <w:pStyle w:val="LetHead"/>
                                    <w:tabs>
                                      <w:tab w:val="clear" w:pos="4320"/>
                                      <w:tab w:val="right" w:pos="8640" w:leader="none"/>
                                    </w:tabs>
                                    <w:snapToGrid w:val="false"/>
                                    <w:rPr>
                                      <w:b/>
                                      <w:bCs/>
                                    </w:rPr>
                                  </w:pPr>
                                  <w:r>
                                    <w:rPr>
                                      <w:b/>
                                      <w:bCs/>
                                    </w:rPr>
                                  </w:r>
                                </w:p>
                              </w:tc>
                              <w:tc>
                                <w:tcPr>
                                  <w:tcW w:w="3330" w:type="dxa"/>
                                  <w:tcBorders/>
                                </w:tcPr>
                                <w:p>
                                  <w:pPr>
                                    <w:pStyle w:val="LetHead"/>
                                    <w:snapToGrid w:val="false"/>
                                    <w:rPr/>
                                  </w:pPr>
                                  <w:r>
                                    <w:rPr/>
                                  </w:r>
                                  <w:bookmarkStart w:id="3" w:name="UserData2"/>
                                  <w:bookmarkStart w:id="4" w:name="UserData2"/>
                                  <w:bookmarkEnd w:id="4"/>
                                </w:p>
                              </w:tc>
                            </w:tr>
                            <w:tr>
                              <w:trPr>
                                <w:trHeight w:val="200" w:hRule="exact"/>
                              </w:trPr>
                              <w:tc>
                                <w:tcPr>
                                  <w:tcW w:w="7578" w:type="dxa"/>
                                  <w:tcBorders/>
                                </w:tcPr>
                                <w:p>
                                  <w:pPr>
                                    <w:pStyle w:val="LetHead"/>
                                    <w:tabs>
                                      <w:tab w:val="clear" w:pos="4320"/>
                                      <w:tab w:val="right" w:pos="8640" w:leader="none"/>
                                    </w:tabs>
                                    <w:snapToGrid w:val="false"/>
                                    <w:rPr/>
                                  </w:pPr>
                                  <w:r>
                                    <w:rPr/>
                                  </w:r>
                                </w:p>
                              </w:tc>
                              <w:tc>
                                <w:tcPr>
                                  <w:tcW w:w="3330" w:type="dxa"/>
                                  <w:tcBorders/>
                                </w:tcPr>
                                <w:p>
                                  <w:pPr>
                                    <w:pStyle w:val="LetHead"/>
                                    <w:rPr/>
                                  </w:pPr>
                                  <w:bookmarkStart w:id="5" w:name="UserData3"/>
                                  <w:bookmarkEnd w:id="5"/>
                                  <w:r>
                                    <w:rPr/>
                                    <w:t xml:space="preserve">Suite 100 </w:t>
                                  </w:r>
                                </w:p>
                              </w:tc>
                            </w:tr>
                            <w:tr>
                              <w:trPr>
                                <w:trHeight w:val="200" w:hRule="exact"/>
                              </w:trPr>
                              <w:tc>
                                <w:tcPr>
                                  <w:tcW w:w="7578" w:type="dxa"/>
                                  <w:tcBorders/>
                                </w:tcPr>
                                <w:p>
                                  <w:pPr>
                                    <w:pStyle w:val="LetHead"/>
                                    <w:tabs>
                                      <w:tab w:val="clear" w:pos="4320"/>
                                      <w:tab w:val="right" w:pos="8640" w:leader="none"/>
                                    </w:tabs>
                                    <w:snapToGrid w:val="false"/>
                                    <w:rPr/>
                                  </w:pPr>
                                  <w:r>
                                    <w:rPr/>
                                  </w:r>
                                </w:p>
                              </w:tc>
                              <w:tc>
                                <w:tcPr>
                                  <w:tcW w:w="3330" w:type="dxa"/>
                                  <w:tcBorders/>
                                </w:tcPr>
                                <w:p>
                                  <w:pPr>
                                    <w:pStyle w:val="LetHead"/>
                                    <w:rPr/>
                                  </w:pPr>
                                  <w:bookmarkStart w:id="6" w:name="UserData4"/>
                                  <w:bookmarkEnd w:id="6"/>
                                  <w:r>
                                    <w:rPr/>
                                    <w:t>12603 Southwest Freeway</w:t>
                                  </w:r>
                                </w:p>
                              </w:tc>
                            </w:tr>
                            <w:tr>
                              <w:trPr>
                                <w:trHeight w:val="200" w:hRule="exact"/>
                              </w:trPr>
                              <w:tc>
                                <w:tcPr>
                                  <w:tcW w:w="7578" w:type="dxa"/>
                                  <w:tcBorders/>
                                </w:tcPr>
                                <w:p>
                                  <w:pPr>
                                    <w:pStyle w:val="LetHead"/>
                                    <w:tabs>
                                      <w:tab w:val="clear" w:pos="4320"/>
                                      <w:tab w:val="right" w:pos="8640" w:leader="none"/>
                                    </w:tabs>
                                    <w:snapToGrid w:val="false"/>
                                    <w:rPr/>
                                  </w:pPr>
                                  <w:r>
                                    <w:rPr/>
                                  </w:r>
                                </w:p>
                              </w:tc>
                              <w:tc>
                                <w:tcPr>
                                  <w:tcW w:w="3330" w:type="dxa"/>
                                  <w:tcBorders/>
                                </w:tcPr>
                                <w:p>
                                  <w:pPr>
                                    <w:pStyle w:val="LetHead"/>
                                    <w:rPr/>
                                  </w:pPr>
                                  <w:bookmarkStart w:id="7" w:name="UserData5"/>
                                  <w:bookmarkEnd w:id="7"/>
                                  <w:r>
                                    <w:rPr/>
                                    <w:t>Stafford, TX  77477-3809</w:t>
                                  </w:r>
                                </w:p>
                              </w:tc>
                            </w:tr>
                            <w:tr>
                              <w:trPr>
                                <w:trHeight w:val="200" w:hRule="exact"/>
                              </w:trPr>
                              <w:tc>
                                <w:tcPr>
                                  <w:tcW w:w="7578" w:type="dxa"/>
                                  <w:tcBorders/>
                                </w:tcPr>
                                <w:p>
                                  <w:pPr>
                                    <w:pStyle w:val="LetHead"/>
                                    <w:tabs>
                                      <w:tab w:val="clear" w:pos="4320"/>
                                      <w:tab w:val="right" w:pos="8640" w:leader="none"/>
                                    </w:tabs>
                                    <w:snapToGrid w:val="false"/>
                                    <w:rPr/>
                                  </w:pPr>
                                  <w:r>
                                    <w:rPr/>
                                  </w:r>
                                </w:p>
                              </w:tc>
                              <w:tc>
                                <w:tcPr>
                                  <w:tcW w:w="3330" w:type="dxa"/>
                                  <w:tcBorders/>
                                </w:tcPr>
                                <w:p>
                                  <w:pPr>
                                    <w:pStyle w:val="LetHead"/>
                                    <w:rPr/>
                                  </w:pPr>
                                  <w:bookmarkStart w:id="8" w:name="UserData6"/>
                                  <w:bookmarkEnd w:id="8"/>
                                  <w:r>
                                    <w:rPr/>
                                    <w:t xml:space="preserve">800-937-0625 </w:t>
                                  </w:r>
                                  <w:r>
                                    <w:rPr>
                                      <w:sz w:val="16"/>
                                      <w:szCs w:val="16"/>
                                    </w:rPr>
                                    <w:t>toll free</w:t>
                                  </w:r>
                                </w:p>
                              </w:tc>
                            </w:tr>
                            <w:tr>
                              <w:trPr>
                                <w:trHeight w:val="200" w:hRule="exact"/>
                              </w:trPr>
                              <w:tc>
                                <w:tcPr>
                                  <w:tcW w:w="7578" w:type="dxa"/>
                                  <w:tcBorders/>
                                </w:tcPr>
                                <w:p>
                                  <w:pPr>
                                    <w:pStyle w:val="LetHead"/>
                                    <w:tabs>
                                      <w:tab w:val="clear" w:pos="4320"/>
                                      <w:tab w:val="right" w:pos="8640" w:leader="none"/>
                                    </w:tabs>
                                    <w:snapToGrid w:val="false"/>
                                    <w:rPr/>
                                  </w:pPr>
                                  <w:r>
                                    <w:rPr/>
                                  </w:r>
                                </w:p>
                              </w:tc>
                              <w:tc>
                                <w:tcPr>
                                  <w:tcW w:w="3330" w:type="dxa"/>
                                  <w:tcBorders/>
                                </w:tcPr>
                                <w:p>
                                  <w:pPr>
                                    <w:pStyle w:val="LetHead"/>
                                    <w:rPr/>
                                  </w:pPr>
                                  <w:bookmarkStart w:id="9" w:name="UserData7"/>
                                  <w:bookmarkEnd w:id="9"/>
                                  <w:r>
                                    <w:rPr/>
                                    <w:t xml:space="preserve">281-490-1608 </w:t>
                                  </w:r>
                                  <w:r>
                                    <w:rPr>
                                      <w:sz w:val="16"/>
                                      <w:szCs w:val="16"/>
                                    </w:rPr>
                                    <w:t>fax</w:t>
                                  </w:r>
                                </w:p>
                              </w:tc>
                            </w:tr>
                            <w:tr>
                              <w:trPr>
                                <w:trHeight w:val="200" w:hRule="exact"/>
                              </w:trPr>
                              <w:tc>
                                <w:tcPr>
                                  <w:tcW w:w="7578" w:type="dxa"/>
                                  <w:tcBorders/>
                                </w:tcPr>
                                <w:p>
                                  <w:pPr>
                                    <w:pStyle w:val="LetHead"/>
                                    <w:tabs>
                                      <w:tab w:val="clear" w:pos="4320"/>
                                      <w:tab w:val="right" w:pos="8640" w:leader="none"/>
                                    </w:tabs>
                                    <w:snapToGrid w:val="false"/>
                                    <w:rPr/>
                                  </w:pPr>
                                  <w:r>
                                    <w:rPr/>
                                  </w:r>
                                </w:p>
                              </w:tc>
                              <w:tc>
                                <w:tcPr>
                                  <w:tcW w:w="3330" w:type="dxa"/>
                                  <w:tcBorders/>
                                </w:tcPr>
                                <w:p>
                                  <w:pPr>
                                    <w:pStyle w:val="LetHead"/>
                                    <w:snapToGrid w:val="false"/>
                                    <w:rPr/>
                                  </w:pPr>
                                  <w:r>
                                    <w:rPr/>
                                  </w:r>
                                  <w:bookmarkStart w:id="10" w:name="UserData8"/>
                                  <w:bookmarkStart w:id="11" w:name="UserData8"/>
                                  <w:bookmarkEnd w:id="11"/>
                                </w:p>
                              </w:tc>
                            </w:tr>
                            <w:tr>
                              <w:trPr>
                                <w:trHeight w:val="200" w:hRule="exact"/>
                              </w:trPr>
                              <w:tc>
                                <w:tcPr>
                                  <w:tcW w:w="7578" w:type="dxa"/>
                                  <w:tcBorders/>
                                </w:tcPr>
                                <w:p>
                                  <w:pPr>
                                    <w:pStyle w:val="LetHead"/>
                                    <w:tabs>
                                      <w:tab w:val="clear" w:pos="4320"/>
                                      <w:tab w:val="right" w:pos="8640" w:leader="none"/>
                                    </w:tabs>
                                    <w:snapToGrid w:val="false"/>
                                    <w:rPr/>
                                  </w:pPr>
                                  <w:r>
                                    <w:rPr/>
                                  </w:r>
                                </w:p>
                              </w:tc>
                              <w:tc>
                                <w:tcPr>
                                  <w:tcW w:w="3330" w:type="dxa"/>
                                  <w:tcBorders/>
                                </w:tcPr>
                                <w:p>
                                  <w:pPr>
                                    <w:pStyle w:val="LetHead"/>
                                    <w:snapToGrid w:val="false"/>
                                    <w:rPr/>
                                  </w:pPr>
                                  <w:r>
                                    <w:rPr/>
                                  </w:r>
                                  <w:bookmarkStart w:id="12" w:name="UserData9"/>
                                  <w:bookmarkStart w:id="13" w:name="UserData9"/>
                                  <w:bookmarkEnd w:id="13"/>
                                </w:p>
                              </w:tc>
                            </w:tr>
                            <w:tr>
                              <w:trPr>
                                <w:trHeight w:val="200" w:hRule="exact"/>
                              </w:trPr>
                              <w:tc>
                                <w:tcPr>
                                  <w:tcW w:w="7578" w:type="dxa"/>
                                  <w:tcBorders/>
                                </w:tcPr>
                                <w:p>
                                  <w:pPr>
                                    <w:pStyle w:val="LetHead"/>
                                    <w:tabs>
                                      <w:tab w:val="clear" w:pos="4320"/>
                                      <w:tab w:val="right" w:pos="8640" w:leader="none"/>
                                    </w:tabs>
                                    <w:snapToGrid w:val="false"/>
                                    <w:rPr/>
                                  </w:pPr>
                                  <w:r>
                                    <w:rPr/>
                                  </w:r>
                                </w:p>
                              </w:tc>
                              <w:tc>
                                <w:tcPr>
                                  <w:tcW w:w="3330" w:type="dxa"/>
                                  <w:tcBorders/>
                                </w:tcPr>
                                <w:p>
                                  <w:pPr>
                                    <w:pStyle w:val="LetHead"/>
                                    <w:snapToGrid w:val="false"/>
                                    <w:rPr/>
                                  </w:pPr>
                                  <w:r>
                                    <w:rPr/>
                                  </w:r>
                                  <w:bookmarkStart w:id="14" w:name="UserData10"/>
                                  <w:bookmarkStart w:id="15" w:name="UserData10"/>
                                  <w:bookmarkEnd w:id="15"/>
                                </w:p>
                              </w:tc>
                            </w:tr>
                            <w:tr>
                              <w:trPr>
                                <w:trHeight w:val="200" w:hRule="exact"/>
                              </w:trPr>
                              <w:tc>
                                <w:tcPr>
                                  <w:tcW w:w="7578" w:type="dxa"/>
                                  <w:tcBorders/>
                                </w:tcPr>
                                <w:p>
                                  <w:pPr>
                                    <w:pStyle w:val="LetHead"/>
                                    <w:tabs>
                                      <w:tab w:val="clear" w:pos="4320"/>
                                      <w:tab w:val="right" w:pos="8640" w:leader="none"/>
                                    </w:tabs>
                                    <w:snapToGrid w:val="false"/>
                                    <w:rPr/>
                                  </w:pPr>
                                  <w:r>
                                    <w:rPr/>
                                  </w:r>
                                </w:p>
                              </w:tc>
                              <w:tc>
                                <w:tcPr>
                                  <w:tcW w:w="3330" w:type="dxa"/>
                                  <w:tcBorders/>
                                </w:tcPr>
                                <w:p>
                                  <w:pPr>
                                    <w:pStyle w:val="LetHead"/>
                                    <w:snapToGrid w:val="false"/>
                                    <w:rPr/>
                                  </w:pPr>
                                  <w:r>
                                    <w:rPr/>
                                  </w:r>
                                  <w:bookmarkStart w:id="16" w:name="UserData11"/>
                                  <w:bookmarkStart w:id="17" w:name="UserData11"/>
                                  <w:bookmarkEnd w:id="17"/>
                                </w:p>
                              </w:tc>
                            </w:tr>
                          </w:tbl>
                        </w:txbxContent>
                      </wps:txbx>
                      <wps:bodyPr anchor="t" lIns="0" tIns="0" rIns="0" bIns="0">
                        <a:noAutofit/>
                      </wps:bodyPr>
                    </wps:wsp>
                  </a:graphicData>
                </a:graphic>
              </wp:anchor>
            </w:drawing>
          </mc:Choice>
          <mc:Fallback>
            <w:pict>
              <v:rect fillcolor="#FFFFFF" style="position:absolute;rotation:-0;width:545.4pt;height:110pt;mso-wrap-distance-left:9.35pt;mso-wrap-distance-right:9.35pt;mso-wrap-distance-top:0pt;mso-wrap-distance-bottom:0pt;margin-top:23.8pt;mso-position-vertical-relative:page;margin-left:41.45pt;mso-position-horizontal-relative:page">
                <v:fill opacity="0f"/>
                <v:textbox inset="0in,0in,0in,0in">
                  <w:txbxContent>
                    <w:tbl>
                      <w:tblPr>
                        <w:tblW w:w="10908" w:type="dxa"/>
                        <w:jc w:val="start"/>
                        <w:tblInd w:w="108" w:type="dxa"/>
                        <w:tblLayout w:type="fixed"/>
                        <w:tblCellMar>
                          <w:top w:w="0" w:type="dxa"/>
                          <w:start w:w="108" w:type="dxa"/>
                          <w:bottom w:w="0" w:type="dxa"/>
                          <w:end w:w="108" w:type="dxa"/>
                        </w:tblCellMar>
                      </w:tblPr>
                      <w:tblGrid>
                        <w:gridCol w:w="7578"/>
                        <w:gridCol w:w="3330"/>
                      </w:tblGrid>
                      <w:tr>
                        <w:trPr>
                          <w:trHeight w:val="200" w:hRule="exact"/>
                        </w:trPr>
                        <w:tc>
                          <w:tcPr>
                            <w:tcW w:w="7578" w:type="dxa"/>
                            <w:tcBorders/>
                          </w:tcPr>
                          <w:p>
                            <w:pPr>
                              <w:pStyle w:val="LetHead"/>
                              <w:tabs>
                                <w:tab w:val="clear" w:pos="4320"/>
                                <w:tab w:val="right" w:pos="8640" w:leader="none"/>
                              </w:tabs>
                              <w:snapToGrid w:val="false"/>
                              <w:rPr>
                                <w:b/>
                                <w:bCs/>
                              </w:rPr>
                            </w:pPr>
                            <w:r>
                              <w:rPr>
                                <w:b/>
                                <w:bCs/>
                              </w:rPr>
                            </w:r>
                          </w:p>
                        </w:tc>
                        <w:tc>
                          <w:tcPr>
                            <w:tcW w:w="3330" w:type="dxa"/>
                            <w:tcBorders/>
                          </w:tcPr>
                          <w:p>
                            <w:pPr>
                              <w:pStyle w:val="LetHead"/>
                              <w:rPr>
                                <w:b/>
                                <w:bCs/>
                              </w:rPr>
                            </w:pPr>
                            <w:bookmarkStart w:id="18" w:name="UserData1"/>
                            <w:bookmarkEnd w:id="18"/>
                            <w:r>
                              <w:rPr>
                                <w:b/>
                                <w:bCs/>
                              </w:rPr>
                              <w:t>The Potter Roberts Group</w:t>
                            </w:r>
                          </w:p>
                        </w:tc>
                      </w:tr>
                      <w:tr>
                        <w:trPr>
                          <w:trHeight w:val="200" w:hRule="exact"/>
                        </w:trPr>
                        <w:tc>
                          <w:tcPr>
                            <w:tcW w:w="7578" w:type="dxa"/>
                            <w:tcBorders/>
                          </w:tcPr>
                          <w:p>
                            <w:pPr>
                              <w:pStyle w:val="LetHead"/>
                              <w:tabs>
                                <w:tab w:val="clear" w:pos="4320"/>
                                <w:tab w:val="right" w:pos="8640" w:leader="none"/>
                              </w:tabs>
                              <w:snapToGrid w:val="false"/>
                              <w:rPr>
                                <w:b/>
                                <w:bCs/>
                              </w:rPr>
                            </w:pPr>
                            <w:r>
                              <w:rPr>
                                <w:b/>
                                <w:bCs/>
                              </w:rPr>
                            </w:r>
                          </w:p>
                        </w:tc>
                        <w:tc>
                          <w:tcPr>
                            <w:tcW w:w="3330" w:type="dxa"/>
                            <w:tcBorders/>
                          </w:tcPr>
                          <w:p>
                            <w:pPr>
                              <w:pStyle w:val="LetHead"/>
                              <w:snapToGrid w:val="false"/>
                              <w:rPr/>
                            </w:pPr>
                            <w:r>
                              <w:rPr/>
                            </w:r>
                            <w:bookmarkStart w:id="19" w:name="UserData2"/>
                            <w:bookmarkStart w:id="20" w:name="UserData2"/>
                            <w:bookmarkEnd w:id="20"/>
                          </w:p>
                        </w:tc>
                      </w:tr>
                      <w:tr>
                        <w:trPr>
                          <w:trHeight w:val="200" w:hRule="exact"/>
                        </w:trPr>
                        <w:tc>
                          <w:tcPr>
                            <w:tcW w:w="7578" w:type="dxa"/>
                            <w:tcBorders/>
                          </w:tcPr>
                          <w:p>
                            <w:pPr>
                              <w:pStyle w:val="LetHead"/>
                              <w:tabs>
                                <w:tab w:val="clear" w:pos="4320"/>
                                <w:tab w:val="right" w:pos="8640" w:leader="none"/>
                              </w:tabs>
                              <w:snapToGrid w:val="false"/>
                              <w:rPr/>
                            </w:pPr>
                            <w:r>
                              <w:rPr/>
                            </w:r>
                          </w:p>
                        </w:tc>
                        <w:tc>
                          <w:tcPr>
                            <w:tcW w:w="3330" w:type="dxa"/>
                            <w:tcBorders/>
                          </w:tcPr>
                          <w:p>
                            <w:pPr>
                              <w:pStyle w:val="LetHead"/>
                              <w:rPr/>
                            </w:pPr>
                            <w:bookmarkStart w:id="21" w:name="UserData3"/>
                            <w:bookmarkEnd w:id="21"/>
                            <w:r>
                              <w:rPr/>
                              <w:t xml:space="preserve">Suite 100 </w:t>
                            </w:r>
                          </w:p>
                        </w:tc>
                      </w:tr>
                      <w:tr>
                        <w:trPr>
                          <w:trHeight w:val="200" w:hRule="exact"/>
                        </w:trPr>
                        <w:tc>
                          <w:tcPr>
                            <w:tcW w:w="7578" w:type="dxa"/>
                            <w:tcBorders/>
                          </w:tcPr>
                          <w:p>
                            <w:pPr>
                              <w:pStyle w:val="LetHead"/>
                              <w:tabs>
                                <w:tab w:val="clear" w:pos="4320"/>
                                <w:tab w:val="right" w:pos="8640" w:leader="none"/>
                              </w:tabs>
                              <w:snapToGrid w:val="false"/>
                              <w:rPr/>
                            </w:pPr>
                            <w:r>
                              <w:rPr/>
                            </w:r>
                          </w:p>
                        </w:tc>
                        <w:tc>
                          <w:tcPr>
                            <w:tcW w:w="3330" w:type="dxa"/>
                            <w:tcBorders/>
                          </w:tcPr>
                          <w:p>
                            <w:pPr>
                              <w:pStyle w:val="LetHead"/>
                              <w:rPr/>
                            </w:pPr>
                            <w:bookmarkStart w:id="22" w:name="UserData4"/>
                            <w:bookmarkEnd w:id="22"/>
                            <w:r>
                              <w:rPr/>
                              <w:t>12603 Southwest Freeway</w:t>
                            </w:r>
                          </w:p>
                        </w:tc>
                      </w:tr>
                      <w:tr>
                        <w:trPr>
                          <w:trHeight w:val="200" w:hRule="exact"/>
                        </w:trPr>
                        <w:tc>
                          <w:tcPr>
                            <w:tcW w:w="7578" w:type="dxa"/>
                            <w:tcBorders/>
                          </w:tcPr>
                          <w:p>
                            <w:pPr>
                              <w:pStyle w:val="LetHead"/>
                              <w:tabs>
                                <w:tab w:val="clear" w:pos="4320"/>
                                <w:tab w:val="right" w:pos="8640" w:leader="none"/>
                              </w:tabs>
                              <w:snapToGrid w:val="false"/>
                              <w:rPr/>
                            </w:pPr>
                            <w:r>
                              <w:rPr/>
                            </w:r>
                          </w:p>
                        </w:tc>
                        <w:tc>
                          <w:tcPr>
                            <w:tcW w:w="3330" w:type="dxa"/>
                            <w:tcBorders/>
                          </w:tcPr>
                          <w:p>
                            <w:pPr>
                              <w:pStyle w:val="LetHead"/>
                              <w:rPr/>
                            </w:pPr>
                            <w:bookmarkStart w:id="23" w:name="UserData5"/>
                            <w:bookmarkEnd w:id="23"/>
                            <w:r>
                              <w:rPr/>
                              <w:t>Stafford, TX  77477-3809</w:t>
                            </w:r>
                          </w:p>
                        </w:tc>
                      </w:tr>
                      <w:tr>
                        <w:trPr>
                          <w:trHeight w:val="200" w:hRule="exact"/>
                        </w:trPr>
                        <w:tc>
                          <w:tcPr>
                            <w:tcW w:w="7578" w:type="dxa"/>
                            <w:tcBorders/>
                          </w:tcPr>
                          <w:p>
                            <w:pPr>
                              <w:pStyle w:val="LetHead"/>
                              <w:tabs>
                                <w:tab w:val="clear" w:pos="4320"/>
                                <w:tab w:val="right" w:pos="8640" w:leader="none"/>
                              </w:tabs>
                              <w:snapToGrid w:val="false"/>
                              <w:rPr/>
                            </w:pPr>
                            <w:r>
                              <w:rPr/>
                            </w:r>
                          </w:p>
                        </w:tc>
                        <w:tc>
                          <w:tcPr>
                            <w:tcW w:w="3330" w:type="dxa"/>
                            <w:tcBorders/>
                          </w:tcPr>
                          <w:p>
                            <w:pPr>
                              <w:pStyle w:val="LetHead"/>
                              <w:rPr/>
                            </w:pPr>
                            <w:bookmarkStart w:id="24" w:name="UserData6"/>
                            <w:bookmarkEnd w:id="24"/>
                            <w:r>
                              <w:rPr/>
                              <w:t xml:space="preserve">800-937-0625 </w:t>
                            </w:r>
                            <w:r>
                              <w:rPr>
                                <w:sz w:val="16"/>
                                <w:szCs w:val="16"/>
                              </w:rPr>
                              <w:t>toll free</w:t>
                            </w:r>
                          </w:p>
                        </w:tc>
                      </w:tr>
                      <w:tr>
                        <w:trPr>
                          <w:trHeight w:val="200" w:hRule="exact"/>
                        </w:trPr>
                        <w:tc>
                          <w:tcPr>
                            <w:tcW w:w="7578" w:type="dxa"/>
                            <w:tcBorders/>
                          </w:tcPr>
                          <w:p>
                            <w:pPr>
                              <w:pStyle w:val="LetHead"/>
                              <w:tabs>
                                <w:tab w:val="clear" w:pos="4320"/>
                                <w:tab w:val="right" w:pos="8640" w:leader="none"/>
                              </w:tabs>
                              <w:snapToGrid w:val="false"/>
                              <w:rPr/>
                            </w:pPr>
                            <w:r>
                              <w:rPr/>
                            </w:r>
                          </w:p>
                        </w:tc>
                        <w:tc>
                          <w:tcPr>
                            <w:tcW w:w="3330" w:type="dxa"/>
                            <w:tcBorders/>
                          </w:tcPr>
                          <w:p>
                            <w:pPr>
                              <w:pStyle w:val="LetHead"/>
                              <w:rPr/>
                            </w:pPr>
                            <w:bookmarkStart w:id="25" w:name="UserData7"/>
                            <w:bookmarkEnd w:id="25"/>
                            <w:r>
                              <w:rPr/>
                              <w:t xml:space="preserve">281-490-1608 </w:t>
                            </w:r>
                            <w:r>
                              <w:rPr>
                                <w:sz w:val="16"/>
                                <w:szCs w:val="16"/>
                              </w:rPr>
                              <w:t>fax</w:t>
                            </w:r>
                          </w:p>
                        </w:tc>
                      </w:tr>
                      <w:tr>
                        <w:trPr>
                          <w:trHeight w:val="200" w:hRule="exact"/>
                        </w:trPr>
                        <w:tc>
                          <w:tcPr>
                            <w:tcW w:w="7578" w:type="dxa"/>
                            <w:tcBorders/>
                          </w:tcPr>
                          <w:p>
                            <w:pPr>
                              <w:pStyle w:val="LetHead"/>
                              <w:tabs>
                                <w:tab w:val="clear" w:pos="4320"/>
                                <w:tab w:val="right" w:pos="8640" w:leader="none"/>
                              </w:tabs>
                              <w:snapToGrid w:val="false"/>
                              <w:rPr/>
                            </w:pPr>
                            <w:r>
                              <w:rPr/>
                            </w:r>
                          </w:p>
                        </w:tc>
                        <w:tc>
                          <w:tcPr>
                            <w:tcW w:w="3330" w:type="dxa"/>
                            <w:tcBorders/>
                          </w:tcPr>
                          <w:p>
                            <w:pPr>
                              <w:pStyle w:val="LetHead"/>
                              <w:snapToGrid w:val="false"/>
                              <w:rPr/>
                            </w:pPr>
                            <w:r>
                              <w:rPr/>
                            </w:r>
                            <w:bookmarkStart w:id="26" w:name="UserData8"/>
                            <w:bookmarkStart w:id="27" w:name="UserData8"/>
                            <w:bookmarkEnd w:id="27"/>
                          </w:p>
                        </w:tc>
                      </w:tr>
                      <w:tr>
                        <w:trPr>
                          <w:trHeight w:val="200" w:hRule="exact"/>
                        </w:trPr>
                        <w:tc>
                          <w:tcPr>
                            <w:tcW w:w="7578" w:type="dxa"/>
                            <w:tcBorders/>
                          </w:tcPr>
                          <w:p>
                            <w:pPr>
                              <w:pStyle w:val="LetHead"/>
                              <w:tabs>
                                <w:tab w:val="clear" w:pos="4320"/>
                                <w:tab w:val="right" w:pos="8640" w:leader="none"/>
                              </w:tabs>
                              <w:snapToGrid w:val="false"/>
                              <w:rPr/>
                            </w:pPr>
                            <w:r>
                              <w:rPr/>
                            </w:r>
                          </w:p>
                        </w:tc>
                        <w:tc>
                          <w:tcPr>
                            <w:tcW w:w="3330" w:type="dxa"/>
                            <w:tcBorders/>
                          </w:tcPr>
                          <w:p>
                            <w:pPr>
                              <w:pStyle w:val="LetHead"/>
                              <w:snapToGrid w:val="false"/>
                              <w:rPr/>
                            </w:pPr>
                            <w:r>
                              <w:rPr/>
                            </w:r>
                            <w:bookmarkStart w:id="28" w:name="UserData9"/>
                            <w:bookmarkStart w:id="29" w:name="UserData9"/>
                            <w:bookmarkEnd w:id="29"/>
                          </w:p>
                        </w:tc>
                      </w:tr>
                      <w:tr>
                        <w:trPr>
                          <w:trHeight w:val="200" w:hRule="exact"/>
                        </w:trPr>
                        <w:tc>
                          <w:tcPr>
                            <w:tcW w:w="7578" w:type="dxa"/>
                            <w:tcBorders/>
                          </w:tcPr>
                          <w:p>
                            <w:pPr>
                              <w:pStyle w:val="LetHead"/>
                              <w:tabs>
                                <w:tab w:val="clear" w:pos="4320"/>
                                <w:tab w:val="right" w:pos="8640" w:leader="none"/>
                              </w:tabs>
                              <w:snapToGrid w:val="false"/>
                              <w:rPr/>
                            </w:pPr>
                            <w:r>
                              <w:rPr/>
                            </w:r>
                          </w:p>
                        </w:tc>
                        <w:tc>
                          <w:tcPr>
                            <w:tcW w:w="3330" w:type="dxa"/>
                            <w:tcBorders/>
                          </w:tcPr>
                          <w:p>
                            <w:pPr>
                              <w:pStyle w:val="LetHead"/>
                              <w:snapToGrid w:val="false"/>
                              <w:rPr/>
                            </w:pPr>
                            <w:r>
                              <w:rPr/>
                            </w:r>
                            <w:bookmarkStart w:id="30" w:name="UserData10"/>
                            <w:bookmarkStart w:id="31" w:name="UserData10"/>
                            <w:bookmarkEnd w:id="31"/>
                          </w:p>
                        </w:tc>
                      </w:tr>
                      <w:tr>
                        <w:trPr>
                          <w:trHeight w:val="200" w:hRule="exact"/>
                        </w:trPr>
                        <w:tc>
                          <w:tcPr>
                            <w:tcW w:w="7578" w:type="dxa"/>
                            <w:tcBorders/>
                          </w:tcPr>
                          <w:p>
                            <w:pPr>
                              <w:pStyle w:val="LetHead"/>
                              <w:tabs>
                                <w:tab w:val="clear" w:pos="4320"/>
                                <w:tab w:val="right" w:pos="8640" w:leader="none"/>
                              </w:tabs>
                              <w:snapToGrid w:val="false"/>
                              <w:rPr/>
                            </w:pPr>
                            <w:r>
                              <w:rPr/>
                            </w:r>
                          </w:p>
                        </w:tc>
                        <w:tc>
                          <w:tcPr>
                            <w:tcW w:w="3330" w:type="dxa"/>
                            <w:tcBorders/>
                          </w:tcPr>
                          <w:p>
                            <w:pPr>
                              <w:pStyle w:val="LetHead"/>
                              <w:snapToGrid w:val="false"/>
                              <w:rPr/>
                            </w:pPr>
                            <w:r>
                              <w:rPr/>
                            </w:r>
                            <w:bookmarkStart w:id="32" w:name="UserData11"/>
                            <w:bookmarkStart w:id="33" w:name="UserData11"/>
                            <w:bookmarkEnd w:id="33"/>
                          </w:p>
                        </w:tc>
                      </w:tr>
                    </w:tbl>
                  </w:txbxContent>
                </v:textbox>
                <w10:wrap type="topAndBottom"/>
              </v:rect>
            </w:pict>
          </mc:Fallback>
        </mc:AlternateContent>
      </w:r>
    </w:p>
    <w:p>
      <w:pPr>
        <w:pStyle w:val="Heading8"/>
        <w:widowControl/>
        <w:ind w:hanging="0" w:start="0"/>
        <w:jc w:val="both"/>
        <w:rPr>
          <w:rFonts w:ascii="Lucida Handwriting" w:hAnsi="Lucida Handwriting" w:eastAsia="Lucida Handwriting" w:cs="Lucida Handwriting"/>
          <w:i w:val="false"/>
          <w:i w:val="false"/>
          <w:iCs w:val="false"/>
        </w:rPr>
      </w:pPr>
      <w:r>
        <w:rPr>
          <w:rFonts w:eastAsia="Lucida Handwriting" w:cs="Lucida Handwriting" w:ascii="Lucida Handwriting" w:hAnsi="Lucida Handwriting"/>
          <w:lang w:val="en-CA"/>
        </w:rPr>
        <mc:AlternateContent>
          <mc:Choice Requires="wpg">
            <w:drawing>
              <wp:anchor behindDoc="0" distT="0" distB="0" distL="0" distR="0" simplePos="0" locked="0" layoutInCell="1" allowOverlap="1" relativeHeight="5">
                <wp:simplePos x="0" y="0"/>
                <wp:positionH relativeFrom="column">
                  <wp:posOffset>868680</wp:posOffset>
                </wp:positionH>
                <wp:positionV relativeFrom="paragraph">
                  <wp:posOffset>-365760</wp:posOffset>
                </wp:positionV>
                <wp:extent cx="4229100" cy="571500"/>
                <wp:effectExtent l="9525" t="9525" r="9525" b="9525"/>
                <wp:wrapNone/>
                <wp:docPr id="5" name=""/>
                <a:graphic xmlns:a="http://schemas.openxmlformats.org/drawingml/2006/main">
                  <a:graphicData uri="http://schemas.microsoft.com/office/word/2010/wordprocessingGroup">
                    <wpg:wgp>
                      <wpg:cNvGrpSpPr/>
                      <wpg:grpSpPr>
                        <a:xfrm>
                          <a:off x="0" y="0"/>
                          <a:ext cx="4229280" cy="571680"/>
                          <a:chOff x="0" y="0"/>
                          <a:chExt cx="4229280" cy="571680"/>
                        </a:xfrm>
                      </wpg:grpSpPr>
                      <wps:wsp>
                        <wps:cNvSpPr/>
                        <wps:spPr>
                          <a:xfrm>
                            <a:off x="0" y="571680"/>
                            <a:ext cx="0" cy="0"/>
                          </a:xfrm>
                          <a:prstGeom prst="line">
                            <a:avLst/>
                          </a:prstGeom>
                          <a:ln w="19080">
                            <a:solidFill>
                              <a:srgbClr val="99ccff"/>
                            </a:solidFill>
                            <a:round/>
                          </a:ln>
                        </wps:spPr>
                        <wps:style>
                          <a:lnRef idx="0"/>
                          <a:fillRef idx="0"/>
                          <a:effectRef idx="0"/>
                          <a:fontRef idx="minor"/>
                        </wps:style>
                        <wps:bodyPr/>
                      </wps:wsp>
                      <wps:wsp>
                        <wps:cNvSpPr/>
                        <wps:spPr>
                          <a:xfrm>
                            <a:off x="4229280" y="0"/>
                            <a:ext cx="0" cy="0"/>
                          </a:xfrm>
                          <a:prstGeom prst="line">
                            <a:avLst/>
                          </a:prstGeom>
                          <a:ln w="19080">
                            <a:solidFill>
                              <a:srgbClr val="99ccff"/>
                            </a:solidFill>
                            <a:round/>
                          </a:ln>
                        </wps:spPr>
                        <wps:style>
                          <a:lnRef idx="0"/>
                          <a:fillRef idx="0"/>
                          <a:effectRef idx="0"/>
                          <a:fontRef idx="minor"/>
                        </wps:style>
                        <wps:bodyPr/>
                      </wps:wsp>
                    </wpg:wgp>
                  </a:graphicData>
                </a:graphic>
              </wp:anchor>
            </w:drawing>
          </mc:Choice>
          <mc:Fallback>
            <w:pict>
              <v:group id="shape_0" style="position:absolute;margin-left:68.4pt;margin-top:-28.8pt;width:332.95pt;height:44.95pt" coordorigin="1368,-576" coordsize="6659,899">
                <v:line id="shape_0" from="1368,324" to="1368,324" stroked="t" o:allowincell="f" style="position:absolute">
                  <v:stroke color="#99ccff" weight="19080" joinstyle="round" endcap="flat"/>
                  <v:fill o:detectmouseclick="t" on="false"/>
                  <w10:wrap type="none"/>
                </v:line>
                <v:line id="shape_0" from="8028,-576" to="8028,-576" stroked="t" o:allowincell="f" style="position:absolute">
                  <v:stroke color="#99ccff" weight="19080" joinstyle="round" endcap="flat"/>
                  <v:fill o:detectmouseclick="t" on="false"/>
                  <w10:wrap type="none"/>
                </v:line>
              </v:group>
            </w:pict>
          </mc:Fallback>
        </mc:AlternateContent>
      </w:r>
      <w:r>
        <w:rPr>
          <w:rFonts w:eastAsia="Lucida Handwriting" w:cs="Lucida Handwriting" w:ascii="Lucida Handwriting" w:hAnsi="Lucida Handwriting"/>
          <w:lang w:val="en-CA"/>
        </w:rPr>
        <w:t>harry.arora@enron.com</w:t>
      </w:r>
    </w:p>
    <w:p>
      <w:pPr>
        <w:pStyle w:val="Heading8"/>
        <w:widowControl/>
        <w:ind w:hanging="0" w:start="0"/>
        <w:rPr>
          <w:rFonts w:ascii="Lucida Handwriting" w:hAnsi="Lucida Handwriting" w:eastAsia="Lucida Handwriting" w:cs="Lucida Handwriting"/>
          <w:b/>
          <w:bCs/>
          <w:i w:val="false"/>
          <w:i w:val="false"/>
          <w:iCs w:val="false"/>
        </w:rPr>
      </w:pPr>
      <w:r>
        <w:rPr>
          <w:rFonts w:eastAsia="Lucida Handwriting" w:cs="Lucida Handwriting" w:ascii="Lucida Handwriting" w:hAnsi="Lucida Handwriting"/>
          <w:b/>
          <w:bCs/>
          <w:i w:val="false"/>
          <w:iCs w:val="false"/>
        </w:rPr>
      </w:r>
    </w:p>
    <w:p>
      <w:pPr>
        <w:pStyle w:val="Heading8"/>
        <w:widowControl/>
        <w:ind w:hanging="0" w:start="0"/>
        <w:jc w:val="center"/>
        <w:rPr>
          <w:rFonts w:ascii="Lucida Handwriting" w:hAnsi="Lucida Handwriting" w:eastAsia="Lucida Handwriting" w:cs="Lucida Handwriting"/>
          <w:b/>
          <w:bCs/>
          <w:i w:val="false"/>
          <w:i w:val="false"/>
          <w:iCs w:val="false"/>
          <w:sz w:val="36"/>
          <w:szCs w:val="36"/>
        </w:rPr>
      </w:pPr>
      <w:r>
        <w:rPr>
          <w:rFonts w:eastAsia="Century Schoolbook" w:cs="Century Schoolbook" w:ascii="Century Schoolbook" w:hAnsi="Century Schoolbook"/>
          <w:b/>
          <w:bCs/>
          <w:i w:val="false"/>
          <w:iCs w:val="false"/>
          <w:sz w:val="40"/>
          <w:szCs w:val="40"/>
        </w:rPr>
        <w:t>MarketMail</w:t>
      </w:r>
    </w:p>
    <w:p>
      <w:pPr>
        <w:pStyle w:val="Normal"/>
        <w:jc w:val="center"/>
        <w:rPr>
          <w:b/>
          <w:bCs/>
          <w:i/>
          <w:i/>
          <w:iCs/>
        </w:rPr>
      </w:pPr>
      <w:r>
        <w:rPr>
          <w:b/>
          <w:bCs/>
          <w:i/>
          <w:iCs/>
        </w:rPr>
        <w:t xml:space="preserve">for </w:t>
      </w:r>
      <w:r>
        <w:rPr>
          <w:b/>
          <w:bCs/>
          <w:i/>
          <w:iCs/>
        </w:rPr>
        <w:fldChar w:fldCharType="begin"/>
      </w:r>
      <w:r>
        <w:rPr>
          <w:i/>
          <w:b/>
          <w:iCs/>
          <w:bCs/>
        </w:rPr>
        <w:instrText xml:space="preserve"> DATE \@"MMMM\ d', 'yyyy" </w:instrText>
      </w:r>
      <w:r>
        <w:rPr>
          <w:i/>
          <w:b/>
          <w:iCs/>
          <w:bCs/>
        </w:rPr>
        <w:fldChar w:fldCharType="separate"/>
      </w:r>
      <w:r>
        <w:rPr>
          <w:i/>
          <w:b/>
          <w:iCs/>
          <w:bCs/>
        </w:rPr>
        <w:t>September 28, 2025</w:t>
      </w:r>
      <w:r>
        <w:rPr>
          <w:i/>
          <w:b/>
          <w:iCs/>
          <w:bCs/>
        </w:rPr>
        <w:fldChar w:fldCharType="end"/>
      </w:r>
    </w:p>
    <w:p>
      <w:pPr>
        <w:pStyle w:val="Normal"/>
        <w:rPr>
          <w:b/>
          <w:bCs/>
          <w:i/>
          <w:i/>
          <w:iCs/>
        </w:rPr>
      </w:pPr>
      <w:r>
        <w:rPr>
          <w:b/>
          <w:bCs/>
          <w:i/>
          <w:iCs/>
        </w:rPr>
      </w:r>
    </w:p>
    <w:p>
      <w:pPr>
        <w:pStyle w:val="Normal"/>
        <w:rPr/>
      </w:pPr>
      <w:r>
        <w:rPr/>
      </w:r>
    </w:p>
    <w:p>
      <w:pPr>
        <w:pStyle w:val="Normal"/>
        <w:jc w:val="both"/>
        <w:rPr>
          <w:rFonts w:ascii="Lucida Handwriting" w:hAnsi="Lucida Handwriting" w:eastAsia="Lucida Handwriting" w:cs="Lucida Handwriting"/>
          <w:b/>
          <w:bCs/>
        </w:rPr>
      </w:pPr>
      <w:r>
        <w:rPr>
          <w:rFonts w:eastAsia="Lucida Handwriting" w:cs="Lucida Handwriting" w:ascii="Lucida Handwriting" w:hAnsi="Lucida Handwriting"/>
          <w:b/>
          <w:bCs/>
        </w:rPr>
        <w:t>Greetings-</w:t>
      </w:r>
    </w:p>
    <w:p>
      <w:pPr>
        <w:pStyle w:val="Normal"/>
        <w:rPr>
          <w:rFonts w:ascii="Arial" w:hAnsi="Arial" w:eastAsia="Arial" w:cs="Arial"/>
          <w:b/>
          <w:bCs/>
          <w:sz w:val="17"/>
          <w:szCs w:val="17"/>
        </w:rPr>
      </w:pPr>
      <w:r>
        <w:rPr>
          <w:rFonts w:eastAsia="Arial" w:cs="Arial" w:ascii="Arial" w:hAnsi="Arial"/>
          <w:b/>
          <w:bCs/>
          <w:sz w:val="17"/>
          <w:szCs w:val="17"/>
        </w:rPr>
      </w:r>
    </w:p>
    <w:p>
      <w:pPr>
        <w:pStyle w:val="Normal"/>
        <w:rPr>
          <w:b/>
          <w:bCs/>
          <w:color w:val="FF0000"/>
          <w:sz w:val="27"/>
          <w:szCs w:val="27"/>
        </w:rPr>
      </w:pPr>
      <w:r>
        <w:rPr>
          <w:b/>
          <w:bCs/>
          <w:color w:val="FF0000"/>
          <w:sz w:val="27"/>
          <w:szCs w:val="27"/>
        </w:rPr>
        <w:t>Layer Upon Layer</w:t>
      </w:r>
    </w:p>
    <w:p>
      <w:pPr>
        <w:pStyle w:val="Normal"/>
        <w:rPr>
          <w:b/>
          <w:bCs/>
          <w:color w:val="FF0000"/>
          <w:sz w:val="27"/>
          <w:szCs w:val="27"/>
        </w:rPr>
      </w:pPr>
      <w:r>
        <w:rPr>
          <w:b/>
          <w:bCs/>
          <w:color w:val="FF0000"/>
          <w:sz w:val="27"/>
          <w:szCs w:val="27"/>
        </w:rPr>
      </w:r>
    </w:p>
    <w:p>
      <w:pPr>
        <w:pStyle w:val="Normal"/>
        <w:rPr/>
      </w:pPr>
      <w:r>
        <w:rPr/>
        <w:t>Even in the best of times, investors want a degree of certainty that the real world doesn’t</w:t>
      </w:r>
    </w:p>
    <w:p>
      <w:pPr>
        <w:pStyle w:val="Normal"/>
        <w:rPr/>
      </w:pPr>
      <w:r>
        <w:rPr/>
        <w:t>often provide. These clearly aren’t the best of times, and the war against terrorism adds new layers of uncertainty to those that usually are part of the decision-making process.</w:t>
      </w:r>
    </w:p>
    <w:p>
      <w:pPr>
        <w:pStyle w:val="Normal"/>
        <w:rPr/>
      </w:pPr>
      <w:r>
        <w:rPr/>
      </w:r>
    </w:p>
    <w:p>
      <w:pPr>
        <w:pStyle w:val="Normal"/>
        <w:rPr/>
      </w:pPr>
      <w:r>
        <w:rPr/>
        <w:t>The recession is a case in point. Even though the last official recession was a decade or so</w:t>
      </w:r>
    </w:p>
    <w:p>
      <w:pPr>
        <w:pStyle w:val="Normal"/>
        <w:rPr/>
      </w:pPr>
      <w:r>
        <w:rPr/>
        <w:t>ago, most investors, business managers, and consumers have some experience navigating</w:t>
      </w:r>
    </w:p>
    <w:p>
      <w:pPr>
        <w:pStyle w:val="Normal"/>
        <w:rPr/>
      </w:pPr>
      <w:r>
        <w:rPr/>
        <w:t>through difficult economic times. Based on that experience they can calculate, albeit roughly, when to become more pessimistic or more optimistic, and they adjust their actions accordingly. For example, they know that the Federal Reserve’s determined efforts to lower interest rates should begin to stimulate the economy fairly soon. They also know that the huge fiscal stimulus package of tax relief and government spending that Washington is preparing ought to complement the monetary stimulus in a powerful way. The outcome is reasonably sure; the major questions, generally speaking, have to do with timing and degree.</w:t>
      </w:r>
    </w:p>
    <w:p>
      <w:pPr>
        <w:pStyle w:val="Normal"/>
        <w:rPr/>
      </w:pPr>
      <w:r>
        <w:rPr/>
      </w:r>
    </w:p>
    <w:p>
      <w:pPr>
        <w:pStyle w:val="Normal"/>
        <w:rPr/>
      </w:pPr>
      <w:r>
        <w:rPr/>
        <w:t xml:space="preserve">Those uncertainties are “normal.” This time around, the war produces new ones that could disrupt past patterns. One possibility is that consumers will become more-than-usually hesitant as unemployment rises and job-security worries mount. That, in turn, could weigh heavily on activity in sectors that are closely tied to confidence, such as consumer spending and the housing market. Another type of uncertainty involves the level of spending that will be needed to increase security and deal with a host of other new war-related realities.   Economic “friction” of that kind will influence trends in productivity and profitability, but no one can say exactly when or how much. In short, the way in which investors, business people and consumers deal with these difficult, unforeseen calculations will go a long way toward determining the economy’s ultimate response to the stimulus that is in the pipeline. </w:t>
      </w:r>
    </w:p>
    <w:p>
      <w:pPr>
        <w:pStyle w:val="Normal"/>
        <w:rPr/>
      </w:pPr>
      <w:r>
        <w:rPr/>
      </w:r>
    </w:p>
    <w:p>
      <w:pPr>
        <w:pStyle w:val="Normal"/>
        <w:rPr/>
      </w:pPr>
      <w:r>
        <w:rPr/>
        <w:t>That’s important for the stock market, in our view, because we continue to think that the</w:t>
      </w:r>
    </w:p>
    <w:p>
      <w:pPr>
        <w:pStyle w:val="Normal"/>
        <w:rPr/>
      </w:pPr>
      <w:r>
        <w:rPr/>
        <w:t>major averages probably will remain in a trading range until there are signs that the</w:t>
      </w:r>
    </w:p>
    <w:p>
      <w:pPr>
        <w:pStyle w:val="Normal"/>
        <w:rPr/>
      </w:pPr>
      <w:r>
        <w:rPr/>
        <w:t>economic slowdown is ending. A few such signs were evident in the weeks before the U.S. was attacked on September 11. They have faded since then, and investors are waiting for them to reappear. When they do, the foundation for a fundamental, sustainable stock-market advance will start to take shape.</w:t>
      </w:r>
    </w:p>
    <w:p>
      <w:pPr>
        <w:pStyle w:val="Normal"/>
        <w:rPr/>
      </w:pPr>
      <w:r>
        <w:rPr/>
      </w:r>
    </w:p>
    <w:p>
      <w:pPr>
        <w:pStyle w:val="Normal"/>
        <w:rPr/>
      </w:pPr>
      <w:r>
        <w:rPr/>
        <w:t xml:space="preserve">While they wait, we think that investors should concentrate on the concepts that we have been emphasizing for quite some time: high quality, conservatism, and diversification. The stocks on our Focus 1 list are a good place to look for investment opportunities that are in line with those themes, in our judgment. In the technology sector, Steve Milunovich, our tech strategist, notes that even though there are some indications that business in November is improving to more-normal levels, the industry’s fundamental workout period still will be longer rather than shorter. In his view, the stocks could continue to rally for the next couple of months, a traditionally strong seasonal period for the sector. After that, he thinks that the rally will fade. </w:t>
      </w:r>
    </w:p>
    <w:p>
      <w:pPr>
        <w:pStyle w:val="Normal"/>
        <w:rPr>
          <w:b/>
          <w:bCs/>
          <w:sz w:val="19"/>
          <w:szCs w:val="19"/>
        </w:rPr>
      </w:pPr>
      <w:r>
        <w:rPr>
          <w:b/>
          <w:bCs/>
          <w:sz w:val="19"/>
          <w:szCs w:val="19"/>
        </w:rPr>
      </w:r>
    </w:p>
    <w:p>
      <w:pPr>
        <w:pStyle w:val="Normal"/>
        <w:rPr>
          <w:b/>
          <w:bCs/>
          <w:sz w:val="19"/>
          <w:szCs w:val="19"/>
        </w:rPr>
      </w:pPr>
      <w:r>
        <w:rPr>
          <w:b/>
          <w:bCs/>
          <w:sz w:val="19"/>
          <w:szCs w:val="19"/>
        </w:rPr>
        <w:t>Andrew J. Melnick</w:t>
      </w:r>
    </w:p>
    <w:p>
      <w:pPr>
        <w:pStyle w:val="Normal"/>
        <w:rPr>
          <w:sz w:val="19"/>
          <w:szCs w:val="19"/>
        </w:rPr>
      </w:pPr>
      <w:r>
        <w:rPr>
          <w:sz w:val="19"/>
          <w:szCs w:val="19"/>
        </w:rPr>
        <w:t>Senior Vice President</w:t>
      </w:r>
    </w:p>
    <w:p>
      <w:pPr>
        <w:pStyle w:val="Normal"/>
        <w:rPr>
          <w:sz w:val="19"/>
          <w:szCs w:val="19"/>
        </w:rPr>
      </w:pPr>
      <w:r>
        <w:rPr>
          <w:sz w:val="19"/>
          <w:szCs w:val="19"/>
        </w:rPr>
        <w:t>Director, Global Securities Research and Economics</w:t>
      </w:r>
    </w:p>
    <w:p>
      <w:pPr>
        <w:pStyle w:val="Heading5"/>
        <w:ind w:hanging="0" w:start="0"/>
        <w:rPr>
          <w:sz w:val="20"/>
          <w:szCs w:val="20"/>
          <w:u w:val="single"/>
        </w:rPr>
      </w:pPr>
      <w:r>
        <w:rPr>
          <w:sz w:val="20"/>
          <w:szCs w:val="20"/>
          <w:u w:val="single"/>
        </w:rPr>
      </w:r>
    </w:p>
    <w:p>
      <w:pPr>
        <w:pStyle w:val="Normal"/>
        <w:rPr>
          <w:sz w:val="20"/>
          <w:szCs w:val="20"/>
          <w:u w:val="single"/>
        </w:rPr>
      </w:pPr>
      <w:r>
        <w:rPr>
          <w:sz w:val="20"/>
          <w:szCs w:val="20"/>
          <w:u w:val="single"/>
        </w:rPr>
      </w:r>
    </w:p>
    <w:p>
      <w:pPr>
        <w:pStyle w:val="Normal"/>
        <w:rPr>
          <w:rFonts w:ascii="Arial" w:hAnsi="Arial" w:eastAsia="Arial" w:cs="Arial"/>
          <w:i/>
          <w:i/>
          <w:iCs/>
          <w:color w:val="008000"/>
          <w:sz w:val="22"/>
          <w:szCs w:val="22"/>
        </w:rPr>
      </w:pPr>
      <w:r>
        <w:rPr>
          <w:rFonts w:eastAsia="Arial" w:cs="Arial" w:ascii="Arial" w:hAnsi="Arial"/>
          <w:i/>
          <w:iCs/>
          <w:color w:val="008000"/>
          <w:sz w:val="22"/>
          <w:szCs w:val="22"/>
        </w:rPr>
        <w:t>Thanks &amp; Regards,</w:t>
      </w:r>
    </w:p>
    <w:p>
      <w:pPr>
        <w:pStyle w:val="Normal"/>
        <w:rPr>
          <w:rFonts w:ascii="Arial" w:hAnsi="Arial" w:eastAsia="Arial" w:cs="Arial"/>
          <w:i/>
          <w:i/>
          <w:iCs/>
          <w:color w:val="008000"/>
          <w:sz w:val="22"/>
          <w:szCs w:val="22"/>
        </w:rPr>
      </w:pPr>
      <w:r>
        <w:rPr>
          <w:rFonts w:eastAsia="Arial" w:cs="Arial" w:ascii="Arial" w:hAnsi="Arial"/>
          <w:i/>
          <w:iCs/>
          <w:color w:val="008000"/>
          <w:sz w:val="22"/>
          <w:szCs w:val="22"/>
        </w:rPr>
      </w:r>
    </w:p>
    <w:p>
      <w:pPr>
        <w:pStyle w:val="Normal"/>
        <w:rPr>
          <w:rFonts w:ascii="Garamond" w:hAnsi="Garamond" w:eastAsia="Garamond" w:cs="Garamond"/>
          <w:b/>
          <w:bCs/>
          <w:i/>
          <w:i/>
          <w:iCs/>
          <w:color w:val="008000"/>
          <w:sz w:val="28"/>
          <w:szCs w:val="28"/>
        </w:rPr>
      </w:pPr>
      <w:r>
        <w:rPr>
          <w:rFonts w:eastAsia="Garamond" w:cs="Garamond" w:ascii="Garamond" w:hAnsi="Garamond"/>
          <w:b/>
          <w:bCs/>
          <w:i/>
          <w:iCs/>
          <w:color w:val="008000"/>
          <w:sz w:val="28"/>
          <w:szCs w:val="28"/>
        </w:rPr>
      </w:r>
    </w:p>
    <w:p>
      <w:pPr>
        <w:pStyle w:val="Normal"/>
        <w:rPr>
          <w:sz w:val="28"/>
          <w:szCs w:val="28"/>
        </w:rPr>
      </w:pPr>
      <w:r>
        <w:rPr>
          <w:rFonts w:eastAsia="Garamond" w:cs="Garamond" w:ascii="Garamond" w:hAnsi="Garamond"/>
          <w:b/>
          <w:bCs/>
          <w:sz w:val="28"/>
          <w:szCs w:val="28"/>
        </w:rPr>
        <w:t>The Potter Roberts Group</w:t>
      </w:r>
    </w:p>
    <w:p>
      <w:pPr>
        <w:pStyle w:val="Heading4"/>
        <w:widowControl/>
        <w:ind w:hanging="0" w:start="0"/>
        <w:rPr>
          <w:rFonts w:ascii="Georgia Ref" w:hAnsi="Georgia Ref" w:eastAsia="Georgia Ref" w:cs="Georgia Ref"/>
          <w:color w:val="000080"/>
          <w:sz w:val="24"/>
          <w:szCs w:val="24"/>
        </w:rPr>
      </w:pPr>
      <w:r>
        <w:rPr>
          <w:rFonts w:eastAsia="Georgia Ref" w:cs="Georgia Ref" w:ascii="Georgia Ref" w:hAnsi="Georgia Ref"/>
          <w:color w:val="000080"/>
          <w:sz w:val="24"/>
          <w:szCs w:val="24"/>
        </w:rPr>
        <w:t>Merrill Lynch Private Client</w:t>
      </w:r>
    </w:p>
    <w:p>
      <w:pPr>
        <w:pStyle w:val="Normal"/>
        <w:rPr>
          <w:rFonts w:ascii="Arial" w:hAnsi="Arial" w:eastAsia="Arial" w:cs="Arial"/>
          <w:b/>
          <w:bCs/>
          <w:color w:val="000080"/>
        </w:rPr>
      </w:pPr>
      <w:r>
        <w:rPr>
          <w:rFonts w:eastAsia="Arial" w:cs="Arial" w:ascii="Arial" w:hAnsi="Arial"/>
          <w:b/>
          <w:bCs/>
          <w:color w:val="000080"/>
        </w:rPr>
        <w:t>(281) 243-9398</w:t>
      </w:r>
    </w:p>
    <w:p>
      <w:pPr>
        <w:pStyle w:val="Heading5"/>
        <w:widowControl/>
        <w:ind w:hanging="0" w:start="0"/>
        <w:rPr>
          <w:color w:val="000080"/>
        </w:rPr>
      </w:pPr>
      <w:r>
        <w:rPr>
          <w:color w:val="0000FF"/>
        </w:rPr>
        <w:t>kevin_roberts@ml.com</w:t>
      </w:r>
    </w:p>
    <w:p>
      <w:pPr>
        <w:pStyle w:val="Normal"/>
        <w:rPr>
          <w:b/>
          <w:bCs/>
          <w:i/>
          <w:i/>
          <w:iCs/>
          <w:color w:val="800000"/>
          <w:sz w:val="22"/>
          <w:szCs w:val="22"/>
        </w:rPr>
      </w:pPr>
      <w:r>
        <w:rPr>
          <w:b/>
          <w:bCs/>
          <w:i/>
          <w:iCs/>
          <w:color w:val="800000"/>
          <w:sz w:val="22"/>
          <w:szCs w:val="22"/>
        </w:rPr>
        <w:t>www.fc.ml.com/potter_roberts</w:t>
      </w:r>
    </w:p>
    <w:p>
      <w:pPr>
        <w:pStyle w:val="Normal"/>
        <w:rPr>
          <w:b/>
          <w:bCs/>
          <w:i/>
          <w:i/>
          <w:iCs/>
          <w:color w:val="800000"/>
          <w:sz w:val="16"/>
          <w:szCs w:val="16"/>
        </w:rPr>
      </w:pPr>
      <w:r>
        <w:rPr>
          <w:b/>
          <w:bCs/>
          <w:i/>
          <w:iCs/>
          <w:color w:val="800000"/>
          <w:sz w:val="16"/>
          <w:szCs w:val="16"/>
        </w:rPr>
      </w:r>
    </w:p>
    <w:p>
      <w:pPr>
        <w:pStyle w:val="Normal"/>
        <w:rPr>
          <w:sz w:val="16"/>
          <w:szCs w:val="16"/>
        </w:rPr>
      </w:pPr>
      <w:r>
        <w:rPr>
          <w:sz w:val="16"/>
          <w:szCs w:val="16"/>
        </w:rPr>
        <w:t>*To be removed from this newsletter please respond to this email with remove in the subject field.</w:t>
      </w:r>
    </w:p>
    <w:p>
      <w:pPr>
        <w:pStyle w:val="Normal"/>
        <w:jc w:val="both"/>
        <w:rPr>
          <w:rFonts w:ascii="Book Antiqua" w:hAnsi="Book Antiqua" w:eastAsia="Book Antiqua" w:cs="Book Antiqua"/>
          <w:sz w:val="16"/>
          <w:szCs w:val="16"/>
        </w:rPr>
      </w:pPr>
      <w:r>
        <w:rPr>
          <w:rFonts w:eastAsia="Book Antiqua" w:cs="Book Antiqua" w:ascii="Book Antiqua" w:hAnsi="Book Antiqua"/>
          <w:sz w:val="16"/>
          <w:szCs w:val="16"/>
        </w:rPr>
      </w:r>
    </w:p>
    <w:p>
      <w:pPr>
        <w:pStyle w:val="Normal"/>
        <w:rPr>
          <w:rFonts w:ascii="Book Antiqua" w:hAnsi="Book Antiqua" w:eastAsia="Book Antiqua" w:cs="Book Antiqua"/>
        </w:rPr>
      </w:pPr>
      <w:r>
        <w:rPr>
          <w:rFonts w:eastAsia="Book Antiqua" w:cs="Book Antiqua" w:ascii="Book Antiqua" w:hAnsi="Book Antiqua"/>
        </w:rPr>
      </w:r>
    </w:p>
    <w:sectPr>
      <w:type w:val="nextPage"/>
      <w:pgSz w:w="12240" w:h="15840"/>
      <w:pgMar w:left="1440" w:right="2160" w:gutter="0" w:header="0" w:top="1440" w:footer="0"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Liberation Sans">
    <w:altName w:val="Arial"/>
    <w:charset w:val="01" w:characterSet="utf-8"/>
    <w:family w:val="swiss"/>
    <w:pitch w:val="variable"/>
  </w:font>
  <w:font w:name="Univers (WN)">
    <w:charset w:val="01"/>
    <w:family w:val="swiss"/>
    <w:pitch w:val="variable"/>
  </w:font>
  <w:font w:name="Lucida Handwriting">
    <w:charset w:val="01"/>
    <w:family w:val="script"/>
    <w:pitch w:val="default"/>
  </w:font>
  <w:font w:name="Century Schoolbook">
    <w:charset w:val="01"/>
    <w:family w:val="roman"/>
    <w:pitch w:val="variable"/>
  </w:font>
  <w:font w:name="Garamond">
    <w:charset w:val="01"/>
    <w:family w:val="roman"/>
    <w:pitch w:val="variable"/>
  </w:font>
  <w:font w:name="Georgia Ref">
    <w:charset w:val="01"/>
    <w:family w:val="roman"/>
    <w:pitch w:val="default"/>
  </w:font>
  <w:font w:name="Book Antiqua">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4">
    <w:name w:val="heading 4"/>
    <w:basedOn w:val="Normal"/>
    <w:next w:val="Normal"/>
    <w:qFormat/>
    <w:pPr>
      <w:keepNext w:val="true"/>
      <w:widowControl w:val="false"/>
      <w:numPr>
        <w:ilvl w:val="3"/>
        <w:numId w:val="1"/>
      </w:numPr>
      <w:outlineLvl w:val="3"/>
    </w:pPr>
    <w:rPr>
      <w:b/>
      <w:bCs/>
      <w:sz w:val="20"/>
      <w:szCs w:val="20"/>
    </w:rPr>
  </w:style>
  <w:style w:type="paragraph" w:styleId="Heading5">
    <w:name w:val="heading 5"/>
    <w:basedOn w:val="Normal"/>
    <w:next w:val="Normal"/>
    <w:qFormat/>
    <w:pPr>
      <w:keepNext w:val="true"/>
      <w:widowControl w:val="false"/>
      <w:numPr>
        <w:ilvl w:val="4"/>
        <w:numId w:val="1"/>
      </w:numPr>
      <w:outlineLvl w:val="4"/>
    </w:pPr>
    <w:rPr>
      <w:rFonts w:ascii="Arial" w:hAnsi="Arial" w:eastAsia="Arial" w:cs="Arial"/>
      <w:b/>
      <w:bCs/>
      <w:sz w:val="22"/>
      <w:szCs w:val="22"/>
    </w:rPr>
  </w:style>
  <w:style w:type="paragraph" w:styleId="Heading6">
    <w:name w:val="heading 6"/>
    <w:basedOn w:val="Normal"/>
    <w:next w:val="Normal"/>
    <w:qFormat/>
    <w:pPr>
      <w:keepNext w:val="true"/>
      <w:widowControl w:val="false"/>
      <w:numPr>
        <w:ilvl w:val="5"/>
        <w:numId w:val="1"/>
      </w:numPr>
      <w:outlineLvl w:val="5"/>
    </w:pPr>
    <w:rPr>
      <w:b/>
      <w:bCs/>
      <w:color w:val="800000"/>
    </w:rPr>
  </w:style>
  <w:style w:type="paragraph" w:styleId="Heading7">
    <w:name w:val="heading 7"/>
    <w:basedOn w:val="Normal"/>
    <w:next w:val="Normal"/>
    <w:qFormat/>
    <w:pPr>
      <w:keepNext w:val="true"/>
      <w:widowControl w:val="false"/>
      <w:numPr>
        <w:ilvl w:val="6"/>
        <w:numId w:val="1"/>
      </w:numPr>
      <w:outlineLvl w:val="6"/>
    </w:pPr>
    <w:rPr>
      <w:rFonts w:ascii="Arial" w:hAnsi="Arial" w:eastAsia="Arial" w:cs="Arial"/>
      <w:i/>
      <w:iCs/>
      <w:color w:val="008000"/>
      <w:sz w:val="20"/>
      <w:szCs w:val="20"/>
    </w:rPr>
  </w:style>
  <w:style w:type="paragraph" w:styleId="Heading8">
    <w:name w:val="heading 8"/>
    <w:basedOn w:val="Normal"/>
    <w:next w:val="Normal"/>
    <w:qFormat/>
    <w:pPr>
      <w:keepNext w:val="true"/>
      <w:widowControl w:val="false"/>
      <w:numPr>
        <w:ilvl w:val="7"/>
        <w:numId w:val="1"/>
      </w:numPr>
      <w:outlineLvl w:val="7"/>
    </w:pPr>
    <w:rPr>
      <w:rFonts w:ascii="Arial" w:hAnsi="Arial" w:eastAsia="Arial" w:cs="Arial"/>
      <w:i/>
      <w:iCs/>
      <w:sz w:val="22"/>
      <w:szCs w:val="22"/>
    </w:rPr>
  </w:style>
  <w:style w:type="character" w:styleId="DefaultParagraphFont">
    <w:name w:val="Default Paragraph Font"/>
    <w:qFormat/>
    <w:rPr/>
  </w:style>
  <w:style w:type="character" w:styleId="Hyperlink">
    <w:name w:val="Hyperlink"/>
    <w:basedOn w:val="DefaultParagraphFont"/>
    <w:qForma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hDate">
    <w:name w:val="hDate"/>
    <w:basedOn w:val="Normal"/>
    <w:qFormat/>
    <w:pPr>
      <w:ind w:hanging="0" w:start="6750" w:end="0"/>
    </w:pPr>
    <w:rPr>
      <w:lang w:val="en-CA"/>
    </w:rPr>
  </w:style>
  <w:style w:type="paragraph" w:styleId="LetHeadSpace">
    <w:name w:val="LetHeadSpace"/>
    <w:basedOn w:val="Header"/>
    <w:qFormat/>
    <w:pPr>
      <w:spacing w:before="0" w:after="2040"/>
    </w:pPr>
    <w:rPr/>
  </w:style>
  <w:style w:type="paragraph" w:styleId="LetHead">
    <w:name w:val="LetHead"/>
    <w:basedOn w:val="Footer"/>
    <w:qFormat/>
    <w:pPr/>
    <w:rPr>
      <w:sz w:val="19"/>
      <w:szCs w:val="19"/>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image" Target="media/image1.e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StationeryBlank</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2001-11-13T15:54:00Z</dcterms:created>
  <dc:creator>TGA User</dc:creator>
  <dc:description/>
  <cp:keywords>stationery templates ML</cp:keywords>
  <dc:language>en-CA</dc:language>
  <cp:lastModifiedBy>TGA User</cp:lastModifiedBy>
  <cp:lastPrinted>2001-04-26T18:04:00Z</cp:lastPrinted>
  <dcterms:modified xsi:type="dcterms:W3CDTF">2001-11-13T15:54:00Z</dcterms:modified>
  <cp:revision>2</cp:revision>
  <dc:subject/>
  <dc:title>Stationery Template</dc:title>
</cp:coreProperties>
</file>