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center"/>
        <w:rPr>
          <w:rFonts w:ascii="Times New Roman" w:hAnsi="Times New Roman"/>
          <w:sz w:val="24"/>
        </w:rPr>
      </w:pPr>
      <w:r>
        <w:fldChar w:fldCharType="begin"/>
      </w:r>
      <w:r>
        <w:rPr/>
        <w:instrText xml:space="preserve">ADVANCE \y 144</w:instrText>
      </w:r>
      <w:r>
        <w:rPr/>
      </w:r>
      <w:r>
        <w:rPr/>
        <w:fldChar w:fldCharType="separate"/>
      </w:r>
      <w:r>
        <w:rPr/>
      </w:r>
      <w:r>
        <w:rPr/>
      </w:r>
      <w:r>
        <w:rPr/>
        <w:fldChar w:fldCharType="end"/>
      </w:r>
      <w:r>
        <w:rPr>
          <w:rFonts w:ascii="Times New Roman" w:hAnsi="Times New Roman"/>
          <w:sz w:val="24"/>
        </w:rPr>
        <w:t>September 27,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B.    Trent Webb,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Shook, Hardy &amp; Bacon, L.L.P. 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One Kansas City Place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1200 Main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Kansas City, Missouri 64195-2118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hanging="720" w:start="1440" w:end="720"/>
        <w:jc w:val="start"/>
        <w:rPr>
          <w:rFonts w:ascii="Times New Roman" w:hAnsi="Times New Roman"/>
          <w:sz w:val="24"/>
        </w:rPr>
      </w:pPr>
      <w:r>
        <w:rPr>
          <w:rFonts w:ascii="Times New Roman" w:hAnsi="Times New Roman"/>
          <w:sz w:val="24"/>
        </w:rPr>
        <w:t>Re:</w:t>
        <w:tab/>
        <w:t>Enron Power Systems</w:t>
        <w:tab/>
        <w:t>027326.009270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Dear Trent: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We have been asked on behalf of Enron North America to evaluate a patent situation regarding the turbine systems installed by Powers Systems Manufacturing at New Albany, Mississippi and Doyle, Georgia that were the subject matter of the patent infringement suit filed by General Electric against Power Systems Manufacturing. 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On behalf of Enron North America, I am writing to make the following inquiries: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Does the version of the settlement agreement now under discussion between Power Systems Manufacturing and General Electric have language of release of Power Systems Manufacturing and/or Enron for the units furnished to Enron North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 If not, what are the possibilities of having such a release re-inserted – we note that the version you sent Mr.    Richard Sanders of Enron North America last April had such a paragraph (14)?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We understand that the units in question were installed for Enron North America before any notice of the existence of the patents-in-suit by General Electric was given.    In view of this,    what is your assessment of potential monetary damages as a result of use of these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Has the possibility of a paid-up license for the units delivered    prior to the suit to Enron North America by Power Systems Manufacturing been explored with General Electric?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Has Power Systems Manufacturing received a patent infringement opinion from you or other patent counsel concerning the new design proposed to modify the units installed at New Albany and Doyle?</w:t>
      </w:r>
    </w:p>
    <w:p>
      <w:pPr>
        <w:sectPr>
          <w:type w:val="nextPage"/>
          <w:pgSz w:w="12240" w:h="15840"/>
          <w:pgMar w:left="1568" w:right="1448" w:gutter="0" w:header="0" w:top="1206" w:footer="0" w:bottom="13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We would appreciate a prompt reply, since answers to these questions will provide Enron North America information it needs to decide how to proceed on the proposal for modification of the units delivered it by Power Systems Manufacturing.    We understand that a conference call has been set for 2:30 p.m. Central time tomorrow, September 28 to discuss these issues.    Thank you in advance for your prompt attention to this matter.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/s/ Albert B.    Kimball Jr.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Albert B.    Kimball Jr.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ABK/kc</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206" w:top="1440" w:footer="2041" w:bottom="209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both"/>
      <w:rPr>
        <w:rFonts w:ascii="Times New Roman" w:hAnsi="Times New Roman"/>
        <w:sz w:val="16"/>
      </w:rPr>
    </w:pPr>
    <w:r>
      <w:rPr>
        <w:rFonts w:ascii="Times New Roman" w:hAnsi="Times New Roman"/>
        <w:sz w:val="16"/>
      </w:rPr>
      <w:t>KIMBAB\027326\000270</w:t>
    </w:r>
  </w:p>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1166833v2-c04770f2bf5f84547d70c1a6d5e2eb2e6af73bad4fc3ff23ee0313b86cd94b0a.doc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B.    Trent Webb,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September 27,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