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240" w:after="120"/>
        <w:rPr/>
      </w:pPr>
      <w:r>
        <w:rPr/>
        <w:t>Enron to Selectively Shed International Assets</w:t>
      </w:r>
    </w:p>
    <w:p>
      <w:pPr>
        <w:pStyle w:val="BodyText"/>
        <w:rPr/>
      </w:pPr>
      <w:r>
        <w:rPr/>
        <w:t xml:space="preserve">Enron Chairman Ken Lay speaking at a conference in Houston on September 19 said that his company will sell some international assets as part of a plan to spend as much as $2 billion to expand its fiber-optic network over the next three years.  Mr. Lay did not say which assets might be sold or when the sale might be made, but market speculation is focusing on the company’s power generation assets.  This speculation is given credence by the sale in March of the company’s 790-MW, gas-fired Sutton Bridge plant in Lincolnshire, England to London Electricity for $246.4 million.  The plant entered service in December 1998.  Enron credited its decision to sell due to the favorable pricing in the UK market, where new entrants were finding it difficult to build plants because of government restrictions.  </w:t>
      </w:r>
    </w:p>
    <w:p>
      <w:pPr>
        <w:pStyle w:val="BodyText"/>
        <w:rPr/>
      </w:pPr>
      <w:r>
        <w:rPr/>
        <w:t>The sale of its international power generation assets would be consistent with the firm’s stated policy of emphasizing trading and contractual assets rather than physical assets.  Since pure-play unregulated generation companies are earning high multiples, this could be a good time to sell.  It is rumored that Enron received at least one offer from a potential suitor for its entire international power generation portfolio, but that the offer proved to be inadequate.  Other options include a stock spin-off that would leave current management in place or a piecemeal sell-off under which Enron would either sell part or all of its current shareholding in a plant or group of plants.</w:t>
      </w:r>
    </w:p>
    <w:p>
      <w:pPr>
        <w:pStyle w:val="BodyText"/>
        <w:rPr/>
      </w:pPr>
      <w:r>
        <w:rPr/>
        <w:t xml:space="preserve">Enron’s international assets comprise 19 operating plants outside of North America totaling 5,938 MW (2,880 MW on a net equity basis) and four projects under construction representing 3,110 MW (2,247 MW of net equity).  </w:t>
      </w:r>
    </w:p>
    <w:p>
      <w:pPr>
        <w:pStyle w:val="BodyText"/>
        <w:rPr/>
      </w:pPr>
      <w:r>
        <w:rPr/>
        <w:t xml:space="preserve">Included in Enron’s portfolio of power generation assets are two fueled by LNG: the 2,450-MW Dabhol power plant south of Mumbai, India; and the 507-MW EcoElectrica power plant in Penuelas, Puerto Rico.  Both projects, which include building related LNG import terminals, provide Enron with a strategic LNG marketing entrée into these markets.  </w:t>
      </w:r>
    </w:p>
    <w:p>
      <w:pPr>
        <w:pStyle w:val="BodyText"/>
        <w:rPr/>
      </w:pPr>
      <w:r>
        <w:rPr/>
        <w:t>The Dabhol Power Company (DPC) project in Maharashtra state is far advanced and will become the first LNG import project in India.  The 2,450-MW power project, when the second phase brings it to its ultimate capacity, will be LNG-fired.  Other DPC shareholders in addition to Enron International, which holds a 50% interest, are the Maharashtra State Electricity Board (30%), General Electric Capital (10%), and Bechtel (10%).</w:t>
      </w:r>
    </w:p>
    <w:p>
      <w:pPr>
        <w:pStyle w:val="BodyText"/>
        <w:rPr/>
      </w:pPr>
      <w:r>
        <w:rPr/>
        <w:t xml:space="preserve">The first phase of the project was completed in December 1998, when power generation capacity of 740-MW went on-stream burning naphtha.  Construction on the second phase, which will expand generating capacity to the ultimate 2,450 MW, is underway.  Phase two, which also includes building an LNG receiving and regasification terminal, is scheduled to be completed in late 2001.  DPC has purchased LNG from two Middle East producers to fuel the plant.  Oman LNG Company (OLNG) and Abu Dhabi’s Adgas </w:t>
      </w:r>
      <w:r>
        <w:rPr>
          <w:highlight w:val="yellow"/>
        </w:rPr>
        <w:t>will supply 1.6 and 0.5 MMt/y</w:t>
      </w:r>
      <w:r>
        <w:rPr/>
        <w:t xml:space="preserve">, respectively, for the power plant for a period of 20 years beginning in 2001. </w:t>
      </w:r>
    </w:p>
    <w:p>
      <w:pPr>
        <w:pStyle w:val="BodyText"/>
        <w:rPr/>
      </w:pPr>
      <w:r>
        <w:rPr/>
        <w:t xml:space="preserve">A fully-owned Enron affiliate, Metropolitan Gas (MetGas), has throughput rights surplus to DPC requirements at the terminal and is aggressively marketing gas to other industrial and commercial users in the Dabhol area.  MetGas is building pipelines both to the north toward Mumbai and to the south toward Goa and Karnataka. Initial customers will be power plants, fertilizer and industrial customers.  In order to serve this market, MetGas has entered into a Confirmation of Intent (COI) with the Malaysia Tiga project for up to 2.6 MMt/y of LNG beginning in 2002.  The SPA is expected to be signed before year-end 2000. </w:t>
      </w:r>
    </w:p>
    <w:p>
      <w:pPr>
        <w:pStyle w:val="BodyText"/>
        <w:rPr/>
      </w:pPr>
      <w:r>
        <w:rPr/>
        <w:t xml:space="preserve">Enron also had an eye on other downstream gas sales opportunities when investing in the EcoElectrica power plant and related LNG receiving terminal in Puerto Rico.  The power plant and LNG receiving terminal is owned 50% by Enron and 50% by Edison Mission Energy, which bought its 50% share from Kenetech for $245 million in January 1999.  Enron anticipated Puerto Rico could become a larger LNG market in the future since the government decided to switch power generation increasingly from fuel oil to more environmentally friendly natural gas.  </w:t>
      </w:r>
    </w:p>
    <w:p>
      <w:pPr>
        <w:pStyle w:val="BodyText"/>
        <w:rPr/>
      </w:pPr>
      <w:r>
        <w:rPr/>
        <w:t>The Puerto Rico power Authority (PREPA) wants to convert three of its six fuel oil-fired generating plants to gas use in the next few years.  The Enron-operated LNG terminal and storage facilities (with LPG and fuel oil as backup fuels), which are the only ones on the island, would be used to supply gas to the converted plants.  There is spare capacity at the terminal even on peak EcoElectrica operating days.  Further throughput could be realized by adding a third vaporizer.  Depending on the number of power plants converted to gas, there is room to add a second storage tank and three more vaporizers at the terminal.  Unfortunately from an infrastructure perspective, the highest demand power plants are located in the north of the island near San Juan, while Penuelas is on the south coast near Ponce.  Supplying gas to the power plants in the north would require building a pipeline across the mountainous interior of the island.  LNG to fuel the EcoElectrica power plant is purchased from Cabot LNG and shipped in from Trinidad.</w:t>
      </w:r>
    </w:p>
    <w:p>
      <w:pPr>
        <w:pStyle w:val="BodyText"/>
        <w:rPr/>
      </w:pPr>
      <w:r>
        <w:rPr/>
        <w:t>If rumors are true, it would appear that Enron may see the high current valuations for power generation assets as presenting an excellent opportunity to monetize its position in this business and to shift the focus of the firm’s investment strategy.</w:t>
      </w:r>
    </w:p>
    <w:p>
      <w:pPr>
        <w:pStyle w:val="BodyText"/>
        <w:rPr/>
      </w:pPr>
      <w:r>
        <w:rPr/>
      </w:r>
    </w:p>
    <w:p>
      <w:pPr>
        <w:pStyle w:val="BodyText"/>
        <w:spacing w:before="0" w:after="120"/>
        <w:rPr/>
      </w:pPr>
      <w:r>
        <w:rPr/>
        <w:fldChar w:fldCharType="begin"/>
      </w:r>
      <w:r>
        <w:rPr/>
        <w:instrText xml:space="preserve"> FILENAME </w:instrText>
      </w:r>
      <w:r>
        <w:rPr/>
        <w:fldChar w:fldCharType="separate"/>
      </w:r>
      <w:r>
        <w:rPr/>
        <w:t>11524_2.DOC</w:t>
      </w:r>
      <w:r>
        <w:rPr/>
        <w:fldChar w:fldCharType="end"/>
      </w:r>
      <w:r>
        <w:rPr/>
        <w:t xml:space="preserve">   </w:t>
      </w:r>
      <w:r>
        <w:rPr/>
        <w:t>10/03/2000 10:37 AM</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POTEN &amp; PARTNERS, INC.</w:t>
      <w:tab/>
      <w:tab/>
      <w:t>LNG IN WORLD MARKETS</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0485" cy="182880"/>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8288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4.4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Month Year</w:t>
      <w:tab/>
      <w:t>Section Title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Roman"/>
      <w:lvlText w:val="%1."/>
      <w:lvlJc w:val="start"/>
      <w:pPr>
        <w:tabs>
          <w:tab w:val="num" w:pos="720"/>
        </w:tabs>
        <w:ind w:start="0" w:hanging="0"/>
      </w:pPr>
      <w:rPr/>
    </w:lvl>
    <w:lvl w:ilvl="1">
      <w:start w:val="1"/>
      <w:numFmt w:val="upperLetter"/>
      <w:lvlText w:val="%2."/>
      <w:lvlJc w:val="start"/>
      <w:pPr>
        <w:tabs>
          <w:tab w:val="num" w:pos="1080"/>
        </w:tabs>
        <w:ind w:start="720" w:hanging="0"/>
      </w:pPr>
      <w:rPr/>
    </w:lvl>
    <w:lvl w:ilvl="2">
      <w:start w:val="1"/>
      <w:numFmt w:val="decimal"/>
      <w:lvlText w:val="%3."/>
      <w:lvlJc w:val="start"/>
      <w:pPr>
        <w:tabs>
          <w:tab w:val="num" w:pos="1800"/>
        </w:tabs>
        <w:ind w:start="1440" w:hanging="0"/>
      </w:pPr>
      <w:rPr/>
    </w:lvl>
    <w:lvl w:ilvl="3">
      <w:start w:val="1"/>
      <w:numFmt w:val="lowerLetter"/>
      <w:lvlText w:val="%4)"/>
      <w:lvlJc w:val="start"/>
      <w:pPr>
        <w:tabs>
          <w:tab w:val="num" w:pos="2520"/>
        </w:tabs>
        <w:ind w:start="2160" w:hanging="0"/>
      </w:pPr>
      <w:rPr/>
    </w:lvl>
    <w:lvl w:ilvl="4">
      <w:start w:val="1"/>
      <w:numFmt w:val="decimal"/>
      <w:lvlText w:val="(%5)"/>
      <w:lvlJc w:val="start"/>
      <w:pPr>
        <w:tabs>
          <w:tab w:val="num" w:pos="3240"/>
        </w:tabs>
        <w:ind w:start="2880" w:hanging="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abstractNum w:abstractNumId="4">
    <w:lvl w:ilvl="0">
      <w:start w:val="1"/>
      <w:numFmt w:val="bullet"/>
      <w:lvlText w:val=""/>
      <w:lvlJc w:val="start"/>
      <w:pPr>
        <w:tabs>
          <w:tab w:val="num" w:pos="1008"/>
        </w:tabs>
        <w:ind w:start="936" w:hanging="288"/>
      </w:pPr>
      <w:rPr>
        <w:rFonts w:ascii="Wingdings" w:hAnsi="Wingdings" w:cs="Wingdings" w:hint="default"/>
      </w:rPr>
    </w:lvl>
  </w:abstractNum>
  <w:abstractNum w:abstractNumId="5">
    <w:lvl w:ilvl="0">
      <w:start w:val="1"/>
      <w:numFmt w:val="bullet"/>
      <w:lvlText w:val=""/>
      <w:lvlJc w:val="start"/>
      <w:pPr>
        <w:tabs>
          <w:tab w:val="num" w:pos="576"/>
        </w:tabs>
        <w:ind w:start="576"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432" w:end="432"/>
      <w:jc w:val="both"/>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BodyText"/>
    <w:qFormat/>
    <w:pPr>
      <w:keepNext w:val="true"/>
      <w:numPr>
        <w:ilvl w:val="0"/>
        <w:numId w:val="1"/>
      </w:numPr>
      <w:tabs>
        <w:tab w:val="clear" w:pos="720"/>
        <w:tab w:val="left" w:pos="864" w:leader="none"/>
      </w:tabs>
      <w:spacing w:lineRule="atLeast" w:line="240" w:before="0" w:after="240"/>
      <w:ind w:hanging="0" w:start="432" w:end="432"/>
      <w:jc w:val="center"/>
      <w:outlineLvl w:val="0"/>
    </w:pPr>
    <w:rPr>
      <w:rFonts w:eastAsia="Arial Unicode MS"/>
      <w:b/>
      <w:caps/>
      <w:sz w:val="30"/>
    </w:rPr>
  </w:style>
  <w:style w:type="paragraph" w:styleId="Heading2">
    <w:name w:val="heading 2"/>
    <w:basedOn w:val="Normal"/>
    <w:next w:val="Normal"/>
    <w:qFormat/>
    <w:pPr>
      <w:keepNext w:val="true"/>
      <w:numPr>
        <w:ilvl w:val="1"/>
        <w:numId w:val="1"/>
      </w:numPr>
      <w:spacing w:before="240" w:after="60"/>
      <w:ind w:hanging="864" w:start="1296" w:end="432"/>
      <w:jc w:val="both"/>
      <w:outlineLvl w:val="1"/>
    </w:pPr>
    <w:rPr>
      <w:rFonts w:eastAsia="Arial Unicode MS"/>
      <w:b/>
      <w:i/>
      <w:sz w:val="24"/>
    </w:rPr>
  </w:style>
  <w:style w:type="paragraph" w:styleId="Heading3">
    <w:name w:val="heading 3"/>
    <w:basedOn w:val="Normal"/>
    <w:next w:val="BodyText"/>
    <w:qFormat/>
    <w:pPr>
      <w:keepNext w:val="true"/>
      <w:numPr>
        <w:ilvl w:val="2"/>
        <w:numId w:val="1"/>
      </w:numPr>
      <w:spacing w:lineRule="atLeast" w:line="240" w:before="240" w:after="120"/>
      <w:ind w:hanging="0" w:start="432" w:end="432"/>
      <w:jc w:val="both"/>
      <w:outlineLvl w:val="2"/>
    </w:pPr>
    <w:rPr>
      <w:rFonts w:eastAsia="Arial Unicode MS"/>
      <w:b/>
      <w:sz w:val="24"/>
    </w:rPr>
  </w:style>
  <w:style w:type="paragraph" w:styleId="Heading4">
    <w:name w:val="heading 4"/>
    <w:basedOn w:val="Normal"/>
    <w:next w:val="Normal"/>
    <w:qFormat/>
    <w:pPr>
      <w:keepNext w:val="true"/>
      <w:numPr>
        <w:ilvl w:val="3"/>
        <w:numId w:val="1"/>
      </w:numPr>
      <w:spacing w:before="240" w:after="60"/>
      <w:jc w:val="both"/>
      <w:outlineLvl w:val="3"/>
    </w:pPr>
    <w:rPr>
      <w:rFonts w:eastAsia="Arial Unicode MS"/>
      <w:sz w:val="24"/>
      <w:u w:val="single"/>
    </w:rPr>
  </w:style>
  <w:style w:type="paragraph" w:styleId="Heading5">
    <w:name w:val="heading 5"/>
    <w:basedOn w:val="Normal"/>
    <w:next w:val="Normal"/>
    <w:qFormat/>
    <w:pPr>
      <w:numPr>
        <w:ilvl w:val="4"/>
        <w:numId w:val="1"/>
      </w:numPr>
      <w:spacing w:before="240" w:after="60"/>
      <w:jc w:val="both"/>
      <w:outlineLvl w:val="4"/>
    </w:pPr>
    <w:rPr>
      <w:rFonts w:eastAsia="Arial Unicode MS"/>
      <w:sz w:val="22"/>
    </w:rPr>
  </w:style>
  <w:style w:type="paragraph" w:styleId="Heading6">
    <w:name w:val="heading 6"/>
    <w:basedOn w:val="Normal"/>
    <w:next w:val="Normal"/>
    <w:qFormat/>
    <w:pPr>
      <w:numPr>
        <w:ilvl w:val="5"/>
        <w:numId w:val="1"/>
      </w:numPr>
      <w:spacing w:before="240" w:after="60"/>
      <w:ind w:hanging="0" w:start="432" w:end="432"/>
      <w:jc w:val="both"/>
      <w:outlineLvl w:val="5"/>
    </w:pPr>
    <w:rPr>
      <w:rFonts w:eastAsia="Arial Unicode MS"/>
      <w:i/>
      <w:sz w:val="22"/>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8">
    <w:name w:val="Style"/>
    <w:basedOn w:val="Normal"/>
    <w:qFormat/>
    <w:pPr>
      <w:numPr>
        <w:ilvl w:val="0"/>
        <w:numId w:val="3"/>
      </w:numPr>
      <w:spacing w:lineRule="auto" w:line="360"/>
    </w:pPr>
    <w:rPr>
      <w:rFonts w:ascii="Arial" w:hAnsi="Arial" w:cs="Arial"/>
      <w:sz w:val="22"/>
    </w:rPr>
  </w:style>
  <w:style w:type="paragraph" w:styleId="BODYTEXT1">
    <w:name w:val="BODYTEXT"/>
    <w:basedOn w:val="Normal"/>
    <w:qFormat/>
    <w:pPr>
      <w:tabs>
        <w:tab w:val="clear" w:pos="720"/>
        <w:tab w:val="left" w:pos="3600" w:leader="none"/>
        <w:tab w:val="left" w:pos="5040" w:leader="none"/>
        <w:tab w:val="left" w:pos="6480" w:leader="none"/>
        <w:tab w:val="left" w:pos="7920" w:leader="none"/>
      </w:tabs>
      <w:spacing w:lineRule="atLeast" w:line="240" w:before="120" w:after="120"/>
      <w:jc w:val="both"/>
    </w:pPr>
    <w:rPr>
      <w:sz w:val="22"/>
    </w:rPr>
  </w:style>
  <w:style w:type="paragraph" w:styleId="TableTitle">
    <w:name w:val="TableTitle"/>
    <w:basedOn w:val="Normal"/>
    <w:qFormat/>
    <w:pPr>
      <w:keepNext w:val="true"/>
      <w:spacing w:before="240" w:after="240"/>
      <w:jc w:val="center"/>
    </w:pPr>
    <w:rPr>
      <w:b/>
      <w:sz w:val="22"/>
    </w:rPr>
  </w:style>
  <w:style w:type="paragraph" w:styleId="tablebody">
    <w:name w:val="tablebody"/>
    <w:basedOn w:val="Normal"/>
    <w:qFormat/>
    <w:pPr>
      <w:spacing w:before="60" w:after="0"/>
      <w:ind w:hanging="0" w:start="144" w:end="432"/>
      <w:jc w:val="center"/>
    </w:pPr>
    <w:rPr/>
  </w:style>
  <w:style w:type="paragraph" w:styleId="TITLE1">
    <w:name w:val="TITLE1"/>
    <w:basedOn w:val="BODYTEXT1"/>
    <w:qFormat/>
    <w:pPr>
      <w:pBdr/>
      <w:ind w:hanging="0" w:start="432" w:end="432"/>
      <w:jc w:val="center"/>
    </w:pPr>
    <w:rPr>
      <w:b/>
      <w:caps/>
      <w:sz w:val="50"/>
    </w:rPr>
  </w:style>
  <w:style w:type="paragraph" w:styleId="Bullet2">
    <w:name w:val="Bullet 2"/>
    <w:basedOn w:val="Normal"/>
    <w:qFormat/>
    <w:pPr>
      <w:numPr>
        <w:ilvl w:val="0"/>
        <w:numId w:val="5"/>
      </w:numPr>
      <w:tabs>
        <w:tab w:val="clear" w:pos="720"/>
        <w:tab w:val="left" w:pos="1440" w:leader="none"/>
      </w:tabs>
      <w:spacing w:before="0" w:after="120"/>
      <w:ind w:hanging="0" w:start="1512" w:end="432"/>
    </w:pPr>
    <w:rPr>
      <w:sz w:val="22"/>
    </w:rPr>
  </w:style>
  <w:style w:type="paragraph" w:styleId="Bullet3">
    <w:name w:val="Bullet 3"/>
    <w:basedOn w:val="Normal"/>
    <w:qFormat/>
    <w:pPr>
      <w:numPr>
        <w:ilvl w:val="0"/>
        <w:numId w:val="4"/>
      </w:numPr>
      <w:spacing w:before="0" w:after="120"/>
      <w:ind w:hanging="360" w:start="1800" w:end="432"/>
      <w:jc w:val="both"/>
    </w:pPr>
    <w:rPr>
      <w:sz w:val="22"/>
    </w:rPr>
  </w:style>
  <w:style w:type="paragraph" w:styleId="Bullet">
    <w:name w:val="Bullet"/>
    <w:basedOn w:val="BodyText"/>
    <w:qFormat/>
    <w:pPr>
      <w:numPr>
        <w:ilvl w:val="0"/>
        <w:numId w:val="2"/>
      </w:numPr>
      <w:tabs>
        <w:tab w:val="clear" w:pos="720"/>
        <w:tab w:val="left" w:pos="1080" w:leader="none"/>
      </w:tabs>
      <w:ind w:hanging="0" w:start="1080" w:end="432"/>
    </w:pPr>
    <w:rPr>
      <w:sz w:val="22"/>
    </w:rPr>
  </w:style>
  <w:style w:type="paragraph" w:styleId="TableText">
    <w:name w:val="TableText"/>
    <w:basedOn w:val="tablebody"/>
    <w:qFormat/>
    <w:pPr>
      <w:ind w:hanging="0" w:start="432" w:end="432"/>
      <w:jc w:val="both"/>
    </w:pPr>
    <w:rPr/>
  </w:style>
  <w:style w:type="paragraph" w:styleId="TableofAuthorities">
    <w:name w:val="Table of Authorities"/>
    <w:basedOn w:val="Normal"/>
    <w:next w:val="Normal"/>
    <w:qFormat/>
    <w:pPr>
      <w:ind w:hanging="200" w:start="200" w:end="432"/>
    </w:pPr>
    <w:rPr/>
  </w:style>
  <w:style w:type="paragraph" w:styleId="TableHeadings">
    <w:name w:val="TableHeadings"/>
    <w:basedOn w:val="TableofAuthorities"/>
    <w:qFormat/>
    <w:pPr>
      <w:spacing w:before="60" w:after="0"/>
      <w:ind w:hanging="0" w:start="432" w:end="432"/>
      <w:jc w:val="center"/>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right" w:pos="9360" w:leader="none"/>
      </w:tabs>
    </w:pPr>
    <w:rPr>
      <w:i/>
    </w:rPr>
  </w:style>
  <w:style w:type="paragraph" w:styleId="Footer">
    <w:name w:val="footer"/>
    <w:basedOn w:val="Normal"/>
    <w:pPr>
      <w:pBdr>
        <w:top w:val="single" w:sz="6" w:space="1" w:color="000000"/>
      </w:pBdr>
      <w:tabs>
        <w:tab w:val="clear" w:pos="720"/>
        <w:tab w:val="center" w:pos="4320" w:leader="none"/>
        <w:tab w:val="right" w:pos="9360" w:leader="none"/>
      </w:tabs>
      <w:ind w:hanging="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Lngwmtem.dot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2000-10-03T15:37:00Z</dcterms:created>
  <dc:creator>FS</dc:creator>
  <dc:description/>
  <dc:language>en-CA</dc:language>
  <cp:lastModifiedBy>GFA</cp:lastModifiedBy>
  <cp:lastPrinted>2000-10-03T10:39:00Z</cp:lastPrinted>
  <dcterms:modified xsi:type="dcterms:W3CDTF">2000-10-03T15:37:00Z</dcterms:modified>
  <cp:revision>2</cp:revision>
  <dc:subject/>
  <dc:title>TITLE</dc:title>
</cp:coreProperties>
</file>