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ENRON FUELS INTERNATIONAL, INC.</w:t>
      </w:r>
    </w:p>
    <w:p>
      <w:pPr>
        <w:pStyle w:val="Normal"/>
        <w:jc w:val="center"/>
        <w:rPr/>
      </w:pPr>
      <w:r>
        <w:rPr>
          <w:sz w:val="22"/>
        </w:rPr>
        <w:t>3330Clay Street, 17</w:t>
      </w:r>
      <w:r>
        <w:rPr>
          <w:sz w:val="22"/>
          <w:vertAlign w:val="superscript"/>
        </w:rPr>
        <w:t>th</w:t>
      </w:r>
      <w:r>
        <w:rPr>
          <w:sz w:val="22"/>
        </w:rPr>
        <w:t xml:space="preserve"> Floor</w:t>
      </w:r>
    </w:p>
    <w:p>
      <w:pPr>
        <w:pStyle w:val="Normal"/>
        <w:jc w:val="center"/>
        <w:rPr>
          <w:sz w:val="22"/>
        </w:rPr>
      </w:pPr>
      <w:r>
        <w:rPr>
          <w:sz w:val="22"/>
        </w:rPr>
        <w:t>Houston, TX  77002</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November 4, 1999</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Mr. Kevin Manning</w:t>
      </w:r>
    </w:p>
    <w:p>
      <w:pPr>
        <w:pStyle w:val="Normal"/>
        <w:rPr>
          <w:sz w:val="22"/>
        </w:rPr>
      </w:pPr>
      <w:r>
        <w:rPr>
          <w:sz w:val="22"/>
        </w:rPr>
        <w:t>Executive Director</w:t>
      </w:r>
    </w:p>
    <w:p>
      <w:pPr>
        <w:pStyle w:val="Normal"/>
        <w:rPr>
          <w:sz w:val="22"/>
        </w:rPr>
      </w:pPr>
      <w:r>
        <w:rPr>
          <w:sz w:val="22"/>
        </w:rPr>
      </w:r>
    </w:p>
    <w:p>
      <w:pPr>
        <w:pStyle w:val="Normal"/>
        <w:rPr>
          <w:sz w:val="22"/>
        </w:rPr>
      </w:pPr>
      <w:r>
        <w:rPr>
          <w:sz w:val="22"/>
        </w:rPr>
        <w:t>Dear Mr. Manning:</w:t>
      </w:r>
    </w:p>
    <w:p>
      <w:pPr>
        <w:pStyle w:val="Normal"/>
        <w:rPr>
          <w:sz w:val="22"/>
        </w:rPr>
      </w:pPr>
      <w:r>
        <w:rPr>
          <w:sz w:val="22"/>
        </w:rPr>
      </w:r>
    </w:p>
    <w:p>
      <w:pPr>
        <w:pStyle w:val="Normal"/>
        <w:spacing w:lineRule="auto" w:line="360"/>
        <w:jc w:val="both"/>
        <w:rPr/>
      </w:pPr>
      <w:r>
        <w:rPr>
          <w:sz w:val="22"/>
        </w:rPr>
        <w:t xml:space="preserve">As of the date of this letter, Smith/Enron Cogeneration Limited Partnership (“SECLP”) is indebted to Enron Fuels International, Inc. </w:t>
      </w:r>
      <w:r>
        <w:rPr>
          <w:b/>
          <w:sz w:val="22"/>
        </w:rPr>
        <w:t xml:space="preserve">[Comment:  is this still the fuel supplier company?] </w:t>
      </w:r>
      <w:r>
        <w:rPr>
          <w:sz w:val="22"/>
        </w:rPr>
        <w:t xml:space="preserve">(“Enron”) in the amount of U.S. $                              for Fuel Oil No.2 and Fuel Oil No. 6 delivered by Enron to SECLP pursuant to the terms of THE FUEL OIL SUPPLY AGREEMENTS executed by the parties on September 15, 1994 (the “Agreements”).  </w:t>
      </w:r>
      <w:r>
        <w:rPr>
          <w:b/>
          <w:sz w:val="22"/>
        </w:rPr>
        <w:t>[Comment:  I only have the Agreement covering No. 2 Fuel Oil; the date of the Agreement covering No. 6 Fuel Oil needs to be verified.]</w:t>
      </w:r>
    </w:p>
    <w:p>
      <w:pPr>
        <w:pStyle w:val="Normal"/>
        <w:spacing w:lineRule="auto" w:line="360"/>
        <w:jc w:val="both"/>
        <w:rPr>
          <w:b/>
          <w:sz w:val="22"/>
        </w:rPr>
      </w:pPr>
      <w:r>
        <w:rPr>
          <w:b/>
          <w:sz w:val="22"/>
        </w:rPr>
      </w:r>
    </w:p>
    <w:p>
      <w:pPr>
        <w:pStyle w:val="Normal"/>
        <w:spacing w:lineRule="auto" w:line="360"/>
        <w:jc w:val="both"/>
        <w:rPr>
          <w:sz w:val="22"/>
        </w:rPr>
      </w:pPr>
      <w:r>
        <w:rPr>
          <w:sz w:val="22"/>
        </w:rPr>
        <w:t>Enron is aware of the current situation facing SECLP and other IPP’s in the Dominican Republic as a result of failure by the CDE  of paying invoices for the last three to four months.  However, Enron also understands SECLP is expecting to realize in the next few days approximately U.S. $15MM as follows: (a) approximately U.S. $7MM , which constitutes SECLP’s reamaining share of funds generated from the capitalization of the  generation companies  in the Dominican Republic, and (b) U.S. $8MM SECLP will realize by drawing on the letter of credit currently in place with  The Dominican State.</w:t>
      </w:r>
    </w:p>
    <w:p>
      <w:pPr>
        <w:pStyle w:val="Normal"/>
        <w:spacing w:lineRule="auto" w:line="360"/>
        <w:jc w:val="both"/>
        <w:rPr>
          <w:sz w:val="22"/>
        </w:rPr>
      </w:pPr>
      <w:r>
        <w:rPr>
          <w:sz w:val="22"/>
        </w:rPr>
      </w:r>
    </w:p>
    <w:p>
      <w:pPr>
        <w:pStyle w:val="Normal"/>
        <w:spacing w:lineRule="auto" w:line="360"/>
        <w:jc w:val="both"/>
        <w:rPr/>
      </w:pPr>
      <w:r>
        <w:rPr>
          <w:sz w:val="22"/>
        </w:rPr>
        <w:t xml:space="preserve">Notice is hereby given to SECLP that effective _______________, 1999 Enron will cease supplying Fuel Oil No. 2 and Fuel Oil No. 6 to SECLP unless SECLP pays Enron by such date in good funds U.S. $15MM to cover a portion of past due Fuel Oil invoices.  </w:t>
      </w:r>
      <w:r>
        <w:rPr>
          <w:b/>
          <w:sz w:val="22"/>
        </w:rPr>
        <w:t>[Comment:  the Agreement I reviewed (covering No. 2 fuel Oil) does not contain a provision for suspension of deliveries in the event of nonpayment-only termination of the Agreement.  Enron needs to determine whether to couch this notice in terms of termination, rather than suspension, to make it consistent with the terms of the Agreement.  Per Section 17.2 (e) of the Agreement, SECLP has 30 days after notice from Enron to cure.]</w:t>
      </w:r>
    </w:p>
    <w:p>
      <w:pPr>
        <w:pStyle w:val="Normal"/>
        <w:rPr>
          <w:b/>
          <w:sz w:val="22"/>
        </w:rPr>
      </w:pPr>
      <w:r>
        <w:rPr>
          <w:b/>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_____________________________</w:t>
      </w:r>
    </w:p>
    <w:p>
      <w:pPr>
        <w:pStyle w:val="Normal"/>
        <w:rPr>
          <w:sz w:val="22"/>
        </w:rPr>
      </w:pPr>
      <w:r>
        <w:rPr>
          <w:sz w:val="22"/>
        </w:rPr>
        <w:t>Name:</w:t>
      </w:r>
    </w:p>
    <w:p>
      <w:pPr>
        <w:pStyle w:val="Normal"/>
        <w:rPr>
          <w:sz w:val="22"/>
        </w:rPr>
      </w:pPr>
      <w:r>
        <w:rPr>
          <w:sz w:val="22"/>
        </w:rPr>
        <w:t>Title: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cc:</w:t>
        <w:tab/>
        <w:t>David Shields</w:t>
      </w:r>
    </w:p>
    <w:p>
      <w:pPr>
        <w:pStyle w:val="Normal"/>
        <w:rPr>
          <w:sz w:val="22"/>
        </w:rPr>
      </w:pPr>
      <w:r>
        <w:rPr>
          <w:sz w:val="22"/>
        </w:rPr>
        <w:tab/>
        <w:t>Dan Castagnola</w:t>
      </w:r>
    </w:p>
    <w:p>
      <w:pPr>
        <w:pStyle w:val="Normal"/>
        <w:rPr>
          <w:sz w:val="22"/>
        </w:rPr>
      </w:pPr>
      <w:r>
        <w:rPr>
          <w:sz w:val="22"/>
        </w:rPr>
        <w:tab/>
        <w:t>Carlos Ryerson</w:t>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
        <w:rPr/>
      </w:pPr>
      <w:r>
        <w:rPr/>
        <w:t>[Comment:  This notice should really be prepared by Dan Hyvl, the Enron Fuels lawyer, in order to avoid conflicts problems and to ensure it conforms to Enron Fuels’ requirements.  I have spoken to Dan and have e-mailed this notice letter for his review and comments.]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1999-11-04T17:09:00Z</dcterms:created>
  <dc:creator>mdoucett</dc:creator>
  <dc:description/>
  <dc:language>en-CA</dc:language>
  <cp:lastModifiedBy>Carlos A. Ryerson</cp:lastModifiedBy>
  <dcterms:modified xsi:type="dcterms:W3CDTF">1999-11-04T17:54:00Z</dcterms:modified>
  <cp:revision>4</cp:revision>
  <dc:subject/>
  <dc:title>ENRON FUELS INTERNATIONAL, INC</dc:title>
</cp:coreProperties>
</file>