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SMALL VENTURES USA, LLC</w:t>
      </w:r>
    </w:p>
    <w:p>
      <w:pPr>
        <w:pStyle w:val="Normal"/>
        <w:jc w:val="center"/>
        <w:rPr/>
      </w:pPr>
      <w:r>
        <w:rPr>
          <w:rFonts w:cs="Arial Narrow" w:ascii="Arial Narrow" w:hAnsi="Arial Narrow"/>
          <w:b/>
          <w:bCs/>
          <w:sz w:val="22"/>
        </w:rPr>
        <w:t>[Deal Nos.  NK6351.1, NL0503</w:t>
      </w:r>
      <w:r>
        <w:rPr>
          <w:rFonts w:cs="Arial Narrow" w:ascii="Arial Narrow" w:hAnsi="Arial Narrow"/>
          <w:b/>
          <w:bCs/>
          <w:sz w:val="24"/>
        </w:rPr>
        <w:t>.1, NK7868.1, NK7870.1, NL0635.1 and NL3466.1]</w:t>
      </w:r>
    </w:p>
    <w:p>
      <w:pPr>
        <w:pStyle w:val="Normal"/>
        <w:jc w:val="center"/>
        <w:rPr>
          <w:rFonts w:ascii="Arial Narrow" w:hAnsi="Arial Narrow" w:cs="Arial Narrow"/>
          <w:b/>
          <w:bCs/>
          <w:sz w:val="18"/>
        </w:rPr>
      </w:pPr>
      <w:r>
        <w:rPr>
          <w:rFonts w:cs="Arial Narrow" w:ascii="Arial Narrow" w:hAnsi="Arial Narrow"/>
          <w:b/>
          <w:bCs/>
          <w:sz w:val="18"/>
        </w:rPr>
      </w:r>
    </w:p>
    <w:p>
      <w:pPr>
        <w:pStyle w:val="BodyText2"/>
        <w:rPr/>
      </w:pPr>
      <w:r>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s>
        <w:jc w:val="both"/>
        <w:rPr/>
      </w:pPr>
      <w:r>
        <w:rPr>
          <w:rFonts w:cs="Arial Narrow" w:ascii="Arial Narrow" w:hAnsi="Arial Narrow"/>
          <w:sz w:val="18"/>
        </w:rPr>
        <w:t>1.</w:t>
        <w:tab/>
      </w:r>
      <w:r>
        <w:rPr>
          <w:rFonts w:cs="Arial Narrow" w:ascii="Arial Narrow" w:hAnsi="Arial Narrow"/>
          <w:sz w:val="18"/>
          <w:u w:val="single"/>
        </w:rPr>
        <w:t>Representations</w:t>
      </w:r>
      <w:r>
        <w:rPr>
          <w:rFonts w:cs="Arial Narrow" w:ascii="Arial Narrow" w:hAnsi="Arial Narrow"/>
          <w:sz w:val="18"/>
        </w:rPr>
        <w:t xml:space="preserve">.  Section 1 of Annex A to the Confirmation is hereby amended in the second line thereof to insert the following parenthetical:  </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“(except as to Section 1(c) below which is a representation and warranty as to ENA only)”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sz w:val="18"/>
        </w:rPr>
      </w:pPr>
      <w:r>
        <w:rPr>
          <w:rFonts w:cs="Arial Narrow" w:ascii="Arial Narrow" w:hAnsi="Arial Narrow"/>
          <w:b/>
          <w:sz w:val="18"/>
        </w:rPr>
        <w:tab/>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3.</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630" w:leader="none"/>
        </w:tabs>
        <w:jc w:val="both"/>
        <w:rPr/>
      </w:pPr>
      <w:r>
        <w:rPr>
          <w:rFonts w:cs="Arial Narrow" w:ascii="Arial Narrow" w:hAnsi="Arial Narrow"/>
          <w:sz w:val="18"/>
        </w:rPr>
        <w:t>4.</w:t>
        <w:tab/>
      </w:r>
      <w:r>
        <w:rPr>
          <w:rFonts w:cs="Arial Narrow" w:ascii="Arial Narrow" w:hAnsi="Arial Narrow"/>
          <w:sz w:val="18"/>
          <w:u w:val="single"/>
        </w:rPr>
        <w:t>Additional Provisions</w:t>
      </w:r>
      <w:r>
        <w:rPr>
          <w:rFonts w:cs="Arial Narrow" w:ascii="Arial Narrow" w:hAnsi="Arial Narrow"/>
          <w:sz w:val="18"/>
        </w:rPr>
        <w:t xml:space="preserve">:  The following Section 9 is hereby added to </w:t>
      </w:r>
      <w:r>
        <w:rPr>
          <w:rFonts w:cs="Arial Narrow" w:ascii="Arial Narrow" w:hAnsi="Arial Narrow"/>
          <w:sz w:val="18"/>
          <w:u w:val="single"/>
        </w:rPr>
        <w:t>Annex A</w:t>
      </w:r>
      <w:r>
        <w:rPr>
          <w:rFonts w:cs="Arial Narrow" w:ascii="Arial Narrow" w:hAnsi="Arial Narrow"/>
          <w:sz w:val="18"/>
        </w:rPr>
        <w:t xml:space="preserve"> of the Confirmation: </w:t>
      </w:r>
      <w:r>
        <w:rPr>
          <w:rFonts w:cs="Arial Narrow" w:ascii="Arial Narrow" w:hAnsi="Arial Narrow"/>
          <w:sz w:val="18"/>
          <w:u w:val="single"/>
        </w:rPr>
        <w:t xml:space="preserve"> </w:t>
      </w:r>
    </w:p>
    <w:p>
      <w:pPr>
        <w:pStyle w:val="Normal"/>
        <w:tabs>
          <w:tab w:val="clear" w:pos="720"/>
          <w:tab w:val="left" w:pos="630" w:leader="none"/>
        </w:tabs>
        <w:jc w:val="both"/>
        <w:rPr>
          <w:rFonts w:ascii="Arial Narrow" w:hAnsi="Arial Narrow" w:cs="Arial Narrow"/>
          <w:sz w:val="18"/>
          <w:u w:val="single"/>
        </w:rPr>
      </w:pPr>
      <w:r>
        <w:rPr>
          <w:rFonts w:cs="Arial Narrow" w:ascii="Arial Narrow" w:hAnsi="Arial Narrow"/>
          <w:sz w:val="18"/>
          <w:u w:val="single"/>
        </w:rPr>
      </w:r>
    </w:p>
    <w:p>
      <w:pPr>
        <w:pStyle w:val="Heading2"/>
        <w:tabs>
          <w:tab w:val="left" w:pos="720" w:leader="none"/>
        </w:tabs>
        <w:spacing w:before="0" w:after="0"/>
        <w:ind w:hanging="0" w:start="360" w:end="0"/>
        <w:jc w:val="start"/>
        <w:rPr>
          <w:rFonts w:ascii="Arial Narrow" w:hAnsi="Arial Narrow" w:cs="Arial Narrow"/>
          <w:sz w:val="18"/>
        </w:rPr>
      </w:pPr>
      <w:r>
        <w:rPr>
          <w:rFonts w:cs="Arial Narrow" w:ascii="Arial Narrow" w:hAnsi="Arial Narrow"/>
          <w:sz w:val="18"/>
        </w:rPr>
        <w:t>“</w:t>
      </w:r>
      <w:r>
        <w:rPr>
          <w:rFonts w:cs="Arial Narrow" w:ascii="Arial Narrow" w:hAnsi="Arial Narrow"/>
          <w:sz w:val="18"/>
        </w:rPr>
        <w:t>9.</w:t>
        <w:tab/>
        <w:t>A.    A Transaction shall be entered into by means of an offer by either party (and with respect to Options an offer by Counterparty to ENA)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As a material part of the consideration for entering into this Confirmation, each of the parties agrees not to contest or assert (and hereby waives any right to) any defense to the validity or enforceability of telephonic Transactions entered into on each date  in accordance with this Confirmation under laws relating to whether certain agreements are to be in writing or signed by such party to be thereby bound or the authority of any employee”.</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hanging="0" w:start="360" w:end="0"/>
        <w:rPr>
          <w:rFonts w:ascii="Arial Narrow" w:hAnsi="Arial Narrow" w:cs="Arial Narrow"/>
          <w:sz w:val="18"/>
        </w:rPr>
      </w:pPr>
      <w:r>
        <w:rPr>
          <w:rFonts w:cs="Arial Narrow" w:ascii="Arial Narrow" w:hAnsi="Arial Narrow"/>
          <w:sz w:val="18"/>
        </w:rPr>
        <w:t>B.</w:t>
        <w:tab/>
        <w:t>ENA shall execute and send to Counterparty promptly after telephonic agreement to such terms a written Confirmation, which shall be promptly executed by Counterparty and returned to ENA.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40" w:leader="none"/>
        </w:tabs>
        <w:jc w:val="both"/>
        <w:rPr/>
      </w:pPr>
      <w:r>
        <w:rPr>
          <w:rFonts w:cs="Arial Narrow" w:ascii="Arial Narrow" w:hAnsi="Arial Narrow"/>
          <w:sz w:val="18"/>
        </w:rPr>
        <w:t xml:space="preserve">"9.  </w:t>
        <w:tab/>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Friday, June 9, 2000, Counterparty shall deliver to ENA Performance Assurance in the amount of $750,000, with respect to Deal Nos. NK6351.1, NL0503.1, NK7868.1, NK7870.1, NL0635.1 and NL3466.1 in the aggregate, and such amount shall be maintained in favor of ENA in accordance with the terms of Annex B-1.  In addition to such Performance Assurance,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6.</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(iii) such other publicly available financial information as the other party may reasonably request.”</w:t>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BodyText2"/>
        <w:tabs>
          <w:tab w:val="clear" w:pos="720"/>
          <w:tab w:val="left" w:pos="540" w:leader="none"/>
        </w:tabs>
        <w:rPr/>
      </w:pPr>
      <w:r>
        <w:rPr/>
        <w:t>7.</w:t>
        <w:tab/>
      </w:r>
      <w:r>
        <w:rPr>
          <w:u w:val="single"/>
        </w:rPr>
        <w:t>Performance Assurance</w:t>
      </w:r>
      <w:r>
        <w:rPr/>
        <w:t xml:space="preserve">.  Section 2(a) of </w:t>
      </w:r>
      <w:r>
        <w:rPr>
          <w:u w:val="single"/>
        </w:rPr>
        <w:t>Annex B-1</w:t>
      </w:r>
      <w:r>
        <w:rPr/>
        <w:t xml:space="preserve"> is hereby deleted in its entirety.</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zero; provided, however, that the Exposure Threshold for ENA shall be zero upon the occurrence and during the continuance of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ENA.  The Exposure Threshold assigned to a 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deliver substitute Performance Assurance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rFonts w:ascii="Arial Narrow" w:hAnsi="Arial Narrow" w:cs="Arial Narrow"/>
          <w:sz w:val="18"/>
        </w:rPr>
      </w:pPr>
      <w:r>
        <w:rPr>
          <w:rFonts w:cs="Arial Narrow" w:ascii="Arial Narrow" w:hAnsi="Arial Narrow"/>
          <w:sz w:val="18"/>
        </w:rPr>
      </w:r>
    </w:p>
    <w:p>
      <w:pPr>
        <w:pStyle w:val="BodyText"/>
        <w:ind w:firstLine="720" w:end="0"/>
        <w:rPr>
          <w:rFonts w:ascii="Arial Narrow" w:hAnsi="Arial Narrow" w:cs="Arial Narrow"/>
          <w:sz w:val="18"/>
        </w:rPr>
      </w:pPr>
      <w:r>
        <w:rPr>
          <w:rFonts w:cs="Arial Narrow" w:ascii="Arial Narrow" w:hAnsi="Arial Narrow"/>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Sdflynn\113conf.doc</w:t>
    </w:r>
  </w:p>
  <w:p>
    <w:pPr>
      <w:pStyle w:val="Footer"/>
      <w:jc w:val="center"/>
      <w:rPr>
        <w:rStyle w:val="PageNumber"/>
        <w:rFonts w:ascii="Arial Narrow" w:hAnsi="Arial Narrow" w:cs="Arial Narrow"/>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color w:val="FF0000"/>
      <w:sz w:val="24"/>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2000-06-06T12:29:00Z</dcterms:created>
  <dc:creator>mheard</dc:creator>
  <dc:description/>
  <dc:language>en-CA</dc:language>
  <cp:lastModifiedBy>sflynn2</cp:lastModifiedBy>
  <cp:lastPrinted>2000-06-06T17:01:00Z</cp:lastPrinted>
  <dcterms:modified xsi:type="dcterms:W3CDTF">2000-06-06T22:15:00Z</dcterms:modified>
  <cp:revision>9</cp:revision>
  <dc:subject/>
  <dc:title>DRAFT OF 10/15/99</dc:title>
</cp:coreProperties>
</file>