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Resource Allocation in Western States</w:t>
      </w:r>
    </w:p>
    <w:p>
      <w:pPr>
        <w:pStyle w:val="Normal"/>
        <w:rPr>
          <w:sz w:val="24"/>
        </w:rPr>
      </w:pPr>
      <w:r>
        <w:rPr>
          <w:sz w:val="24"/>
        </w:rPr>
      </w:r>
    </w:p>
    <w:p>
      <w:pPr>
        <w:pStyle w:val="Normal"/>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2489"/>
        <w:gridCol w:w="6367"/>
      </w:tblGrid>
      <w:tr>
        <w:trPr/>
        <w:tc>
          <w:tcPr>
            <w:tcW w:w="2489" w:type="dxa"/>
            <w:tcBorders>
              <w:top w:val="single" w:sz="12" w:space="0" w:color="008080"/>
              <w:start w:val="single" w:sz="6" w:space="0" w:color="008080"/>
              <w:bottom w:val="single" w:sz="6" w:space="0" w:color="000000"/>
            </w:tcBorders>
            <w:shd w:fill="C0C0C0" w:val="clear"/>
          </w:tcPr>
          <w:p>
            <w:pPr>
              <w:pStyle w:val="Normal"/>
              <w:rPr>
                <w:b/>
                <w:i/>
                <w:i/>
                <w:color w:val="800000"/>
                <w:sz w:val="24"/>
              </w:rPr>
            </w:pPr>
            <w:r>
              <w:rPr>
                <w:b/>
                <w:i/>
                <w:color w:val="800000"/>
                <w:sz w:val="24"/>
              </w:rPr>
              <w:t>General Area/Activity</w:t>
            </w:r>
          </w:p>
        </w:tc>
        <w:tc>
          <w:tcPr>
            <w:tcW w:w="6367" w:type="dxa"/>
            <w:tcBorders>
              <w:top w:val="single" w:sz="12" w:space="0" w:color="008080"/>
              <w:bottom w:val="single" w:sz="6" w:space="0" w:color="000000"/>
              <w:end w:val="single" w:sz="6" w:space="0" w:color="008080"/>
            </w:tcBorders>
            <w:shd w:fill="C0C0C0" w:val="clear"/>
          </w:tcPr>
          <w:p>
            <w:pPr>
              <w:pStyle w:val="Normal"/>
              <w:rPr>
                <w:b/>
                <w:i/>
                <w:i/>
                <w:color w:val="800000"/>
                <w:sz w:val="24"/>
              </w:rPr>
            </w:pPr>
            <w:r>
              <w:rPr>
                <w:b/>
                <w:i/>
                <w:color w:val="800000"/>
                <w:sz w:val="24"/>
              </w:rPr>
              <w:t>Person Responsible</w:t>
            </w:r>
          </w:p>
        </w:tc>
      </w:tr>
      <w:tr>
        <w:trPr/>
        <w:tc>
          <w:tcPr>
            <w:tcW w:w="2489" w:type="dxa"/>
            <w:tcBorders>
              <w:start w:val="single" w:sz="6" w:space="0" w:color="008080"/>
            </w:tcBorders>
            <w:shd w:fill="C0C0C0" w:val="clear"/>
          </w:tcPr>
          <w:p>
            <w:pPr>
              <w:pStyle w:val="Normal"/>
              <w:rPr>
                <w:sz w:val="24"/>
              </w:rPr>
            </w:pPr>
            <w:r>
              <w:rPr>
                <w:sz w:val="24"/>
              </w:rPr>
              <w:t>ISO/PX</w:t>
            </w:r>
          </w:p>
        </w:tc>
        <w:tc>
          <w:tcPr>
            <w:tcW w:w="6367" w:type="dxa"/>
            <w:tcBorders>
              <w:end w:val="single" w:sz="6" w:space="0" w:color="008080"/>
            </w:tcBorders>
            <w:shd w:fill="C0C0C0" w:val="clear"/>
          </w:tcPr>
          <w:p>
            <w:pPr>
              <w:pStyle w:val="Normal"/>
              <w:rPr>
                <w:sz w:val="24"/>
              </w:rPr>
            </w:pPr>
            <w:r>
              <w:rPr>
                <w:sz w:val="24"/>
              </w:rPr>
              <w:t>Sue Mara, with assistance from Alan Comnes.  Alan will provide technical assistance to Sue and participate in staff level discussions.  Sue is responsible for Board level activity.</w:t>
            </w:r>
          </w:p>
        </w:tc>
      </w:tr>
      <w:tr>
        <w:trPr/>
        <w:tc>
          <w:tcPr>
            <w:tcW w:w="2489" w:type="dxa"/>
            <w:tcBorders>
              <w:start w:val="single" w:sz="6" w:space="0" w:color="008080"/>
            </w:tcBorders>
          </w:tcPr>
          <w:p>
            <w:pPr>
              <w:pStyle w:val="Normal"/>
              <w:rPr>
                <w:sz w:val="24"/>
              </w:rPr>
            </w:pPr>
            <w:r>
              <w:rPr>
                <w:sz w:val="24"/>
              </w:rPr>
              <w:t>WPTF</w:t>
            </w:r>
          </w:p>
        </w:tc>
        <w:tc>
          <w:tcPr>
            <w:tcW w:w="6367" w:type="dxa"/>
            <w:tcBorders>
              <w:end w:val="single" w:sz="6" w:space="0" w:color="008080"/>
            </w:tcBorders>
          </w:tcPr>
          <w:p>
            <w:pPr>
              <w:pStyle w:val="Normal"/>
              <w:rPr>
                <w:sz w:val="24"/>
              </w:rPr>
            </w:pPr>
            <w:r>
              <w:rPr>
                <w:sz w:val="24"/>
              </w:rPr>
              <w:t>Sue Mara, with assistance from Alan Comnes.</w:t>
            </w:r>
          </w:p>
        </w:tc>
      </w:tr>
      <w:tr>
        <w:trPr/>
        <w:tc>
          <w:tcPr>
            <w:tcW w:w="2489" w:type="dxa"/>
            <w:tcBorders>
              <w:start w:val="single" w:sz="6" w:space="0" w:color="008080"/>
            </w:tcBorders>
            <w:shd w:fill="C0C0C0" w:val="clear"/>
          </w:tcPr>
          <w:p>
            <w:pPr>
              <w:pStyle w:val="Normal"/>
              <w:rPr>
                <w:sz w:val="24"/>
              </w:rPr>
            </w:pPr>
            <w:r>
              <w:rPr>
                <w:sz w:val="24"/>
              </w:rPr>
              <w:t>ARM</w:t>
            </w:r>
          </w:p>
        </w:tc>
        <w:tc>
          <w:tcPr>
            <w:tcW w:w="6367" w:type="dxa"/>
            <w:tcBorders>
              <w:end w:val="single" w:sz="6" w:space="0" w:color="008080"/>
            </w:tcBorders>
            <w:shd w:fill="C0C0C0" w:val="clear"/>
          </w:tcPr>
          <w:p>
            <w:pPr>
              <w:pStyle w:val="Normal"/>
              <w:rPr>
                <w:sz w:val="24"/>
              </w:rPr>
            </w:pPr>
            <w:r>
              <w:rPr>
                <w:sz w:val="24"/>
              </w:rPr>
              <w:t>Sue Mara</w:t>
            </w:r>
          </w:p>
        </w:tc>
      </w:tr>
      <w:tr>
        <w:trPr/>
        <w:tc>
          <w:tcPr>
            <w:tcW w:w="2489" w:type="dxa"/>
            <w:tcBorders>
              <w:start w:val="single" w:sz="6" w:space="0" w:color="008080"/>
            </w:tcBorders>
          </w:tcPr>
          <w:p>
            <w:pPr>
              <w:pStyle w:val="Normal"/>
              <w:rPr>
                <w:sz w:val="24"/>
              </w:rPr>
            </w:pPr>
            <w:r>
              <w:rPr>
                <w:sz w:val="24"/>
              </w:rPr>
              <w:t xml:space="preserve">Curve Support </w:t>
            </w:r>
          </w:p>
        </w:tc>
        <w:tc>
          <w:tcPr>
            <w:tcW w:w="6367" w:type="dxa"/>
            <w:tcBorders>
              <w:end w:val="single" w:sz="6" w:space="0" w:color="008080"/>
            </w:tcBorders>
          </w:tcPr>
          <w:p>
            <w:pPr>
              <w:pStyle w:val="Normal"/>
              <w:rPr>
                <w:sz w:val="24"/>
              </w:rPr>
            </w:pPr>
            <w:r>
              <w:rPr>
                <w:sz w:val="24"/>
              </w:rPr>
              <w:t>Marcie Milner.  Sue Mara will be primary “go-to” person for Marcie should issues arise.  Marcie will have primary responsibility for providing EES group with information/data for curve support and risk analysis.</w:t>
            </w:r>
          </w:p>
        </w:tc>
      </w:tr>
      <w:tr>
        <w:trPr/>
        <w:tc>
          <w:tcPr>
            <w:tcW w:w="2489" w:type="dxa"/>
            <w:tcBorders>
              <w:start w:val="single" w:sz="6" w:space="0" w:color="008080"/>
            </w:tcBorders>
            <w:shd w:fill="C0C0C0" w:val="clear"/>
          </w:tcPr>
          <w:p>
            <w:pPr>
              <w:pStyle w:val="Normal"/>
              <w:rPr>
                <w:sz w:val="24"/>
              </w:rPr>
            </w:pPr>
            <w:r>
              <w:rPr>
                <w:sz w:val="24"/>
              </w:rPr>
              <w:t>Sempra/SDG&amp;E</w:t>
            </w:r>
          </w:p>
        </w:tc>
        <w:tc>
          <w:tcPr>
            <w:tcW w:w="6367" w:type="dxa"/>
            <w:tcBorders>
              <w:end w:val="single" w:sz="6" w:space="0" w:color="008080"/>
            </w:tcBorders>
            <w:shd w:fill="C0C0C0" w:val="clear"/>
          </w:tcPr>
          <w:p>
            <w:pPr>
              <w:pStyle w:val="Normal"/>
              <w:rPr>
                <w:sz w:val="24"/>
              </w:rPr>
            </w:pPr>
            <w:r>
              <w:rPr>
                <w:sz w:val="24"/>
              </w:rPr>
              <w:t>Jeff Dasovich.  Jeff will be assisted by Marcie on implementation issues—e.g., implementation of $6.50/MWh retail rate cap.</w:t>
            </w:r>
          </w:p>
        </w:tc>
      </w:tr>
      <w:tr>
        <w:trPr/>
        <w:tc>
          <w:tcPr>
            <w:tcW w:w="2489" w:type="dxa"/>
            <w:tcBorders>
              <w:start w:val="single" w:sz="6" w:space="0" w:color="008080"/>
            </w:tcBorders>
          </w:tcPr>
          <w:p>
            <w:pPr>
              <w:pStyle w:val="Normal"/>
              <w:rPr>
                <w:sz w:val="24"/>
              </w:rPr>
            </w:pPr>
            <w:r>
              <w:rPr>
                <w:sz w:val="24"/>
              </w:rPr>
              <w:t>SCE, including rate stabilization.</w:t>
            </w:r>
          </w:p>
        </w:tc>
        <w:tc>
          <w:tcPr>
            <w:tcW w:w="6367" w:type="dxa"/>
            <w:tcBorders>
              <w:end w:val="single" w:sz="6" w:space="0" w:color="008080"/>
            </w:tcBorders>
          </w:tcPr>
          <w:p>
            <w:pPr>
              <w:pStyle w:val="Normal"/>
              <w:rPr>
                <w:sz w:val="24"/>
              </w:rPr>
            </w:pPr>
            <w:r>
              <w:rPr>
                <w:sz w:val="24"/>
              </w:rPr>
              <w:t>Sue Mara.</w:t>
            </w:r>
          </w:p>
        </w:tc>
      </w:tr>
      <w:tr>
        <w:trPr/>
        <w:tc>
          <w:tcPr>
            <w:tcW w:w="2489" w:type="dxa"/>
            <w:tcBorders>
              <w:start w:val="single" w:sz="6" w:space="0" w:color="008080"/>
            </w:tcBorders>
            <w:shd w:fill="C0C0C0" w:val="clear"/>
          </w:tcPr>
          <w:p>
            <w:pPr>
              <w:pStyle w:val="Normal"/>
              <w:rPr>
                <w:sz w:val="24"/>
              </w:rPr>
            </w:pPr>
            <w:r>
              <w:rPr>
                <w:sz w:val="24"/>
              </w:rPr>
              <w:t>PG&amp;E</w:t>
            </w:r>
          </w:p>
        </w:tc>
        <w:tc>
          <w:tcPr>
            <w:tcW w:w="6367" w:type="dxa"/>
            <w:tcBorders>
              <w:end w:val="single" w:sz="6" w:space="0" w:color="008080"/>
            </w:tcBorders>
            <w:shd w:fill="C0C0C0" w:val="clear"/>
          </w:tcPr>
          <w:p>
            <w:pPr>
              <w:pStyle w:val="Normal"/>
              <w:rPr>
                <w:sz w:val="24"/>
              </w:rPr>
            </w:pPr>
            <w:r>
              <w:rPr>
                <w:sz w:val="24"/>
              </w:rPr>
              <w:t>Jeff Dasovich and Sue Mara will share responsbilities.</w:t>
            </w:r>
          </w:p>
        </w:tc>
      </w:tr>
      <w:tr>
        <w:trPr/>
        <w:tc>
          <w:tcPr>
            <w:tcW w:w="2489" w:type="dxa"/>
            <w:tcBorders>
              <w:start w:val="single" w:sz="6" w:space="0" w:color="008080"/>
            </w:tcBorders>
          </w:tcPr>
          <w:p>
            <w:pPr>
              <w:pStyle w:val="Normal"/>
              <w:rPr>
                <w:sz w:val="24"/>
              </w:rPr>
            </w:pPr>
            <w:r>
              <w:rPr>
                <w:sz w:val="24"/>
              </w:rPr>
              <w:t>Hydro-related issues re:  PG&amp;E, including rate stabilization</w:t>
            </w:r>
          </w:p>
        </w:tc>
        <w:tc>
          <w:tcPr>
            <w:tcW w:w="6367" w:type="dxa"/>
            <w:tcBorders>
              <w:end w:val="single" w:sz="6" w:space="0" w:color="008080"/>
            </w:tcBorders>
          </w:tcPr>
          <w:p>
            <w:pPr>
              <w:pStyle w:val="Normal"/>
              <w:rPr>
                <w:sz w:val="24"/>
              </w:rPr>
            </w:pPr>
            <w:r>
              <w:rPr>
                <w:sz w:val="24"/>
              </w:rPr>
              <w:t>Jeff Dasovich</w:t>
            </w:r>
          </w:p>
        </w:tc>
      </w:tr>
      <w:tr>
        <w:trPr/>
        <w:tc>
          <w:tcPr>
            <w:tcW w:w="2489" w:type="dxa"/>
            <w:tcBorders>
              <w:start w:val="single" w:sz="6" w:space="0" w:color="008080"/>
            </w:tcBorders>
            <w:shd w:fill="C0C0C0" w:val="clear"/>
          </w:tcPr>
          <w:p>
            <w:pPr>
              <w:pStyle w:val="Normal"/>
              <w:rPr>
                <w:sz w:val="24"/>
              </w:rPr>
            </w:pPr>
            <w:r>
              <w:rPr>
                <w:sz w:val="24"/>
              </w:rPr>
              <w:t>California gas</w:t>
            </w:r>
          </w:p>
        </w:tc>
        <w:tc>
          <w:tcPr>
            <w:tcW w:w="6367" w:type="dxa"/>
            <w:tcBorders>
              <w:end w:val="single" w:sz="6" w:space="0" w:color="008080"/>
            </w:tcBorders>
            <w:shd w:fill="C0C0C0" w:val="clear"/>
          </w:tcPr>
          <w:p>
            <w:pPr>
              <w:pStyle w:val="Normal"/>
              <w:rPr>
                <w:sz w:val="24"/>
              </w:rPr>
            </w:pPr>
            <w:r>
              <w:rPr>
                <w:sz w:val="24"/>
              </w:rPr>
              <w:t>Jeff Dasovich</w:t>
            </w:r>
          </w:p>
        </w:tc>
      </w:tr>
      <w:tr>
        <w:trPr/>
        <w:tc>
          <w:tcPr>
            <w:tcW w:w="2489" w:type="dxa"/>
            <w:tcBorders>
              <w:start w:val="single" w:sz="6" w:space="0" w:color="008080"/>
            </w:tcBorders>
          </w:tcPr>
          <w:p>
            <w:pPr>
              <w:pStyle w:val="Normal"/>
              <w:rPr>
                <w:sz w:val="24"/>
              </w:rPr>
            </w:pPr>
            <w:r>
              <w:rPr>
                <w:sz w:val="24"/>
              </w:rPr>
              <w:t>California re-restructuring</w:t>
            </w:r>
          </w:p>
        </w:tc>
        <w:tc>
          <w:tcPr>
            <w:tcW w:w="6367" w:type="dxa"/>
            <w:tcBorders>
              <w:end w:val="single" w:sz="6" w:space="0" w:color="008080"/>
            </w:tcBorders>
          </w:tcPr>
          <w:p>
            <w:pPr>
              <w:pStyle w:val="Normal"/>
              <w:rPr>
                <w:sz w:val="24"/>
              </w:rPr>
            </w:pPr>
            <w:r>
              <w:rPr>
                <w:sz w:val="24"/>
              </w:rPr>
              <w:t>Paul Kaufman and Jeff Dasovich will coordinate legislative, regulatory, etc., on re-restructuring issues.</w:t>
            </w:r>
          </w:p>
        </w:tc>
      </w:tr>
      <w:tr>
        <w:trPr/>
        <w:tc>
          <w:tcPr>
            <w:tcW w:w="2489" w:type="dxa"/>
            <w:tcBorders>
              <w:start w:val="single" w:sz="6" w:space="0" w:color="008080"/>
            </w:tcBorders>
            <w:shd w:fill="C0C0C0" w:val="clear"/>
          </w:tcPr>
          <w:p>
            <w:pPr>
              <w:pStyle w:val="Normal"/>
              <w:rPr>
                <w:sz w:val="24"/>
              </w:rPr>
            </w:pPr>
            <w:r>
              <w:rPr>
                <w:sz w:val="24"/>
              </w:rPr>
              <w:t xml:space="preserve">California legislative </w:t>
            </w:r>
          </w:p>
        </w:tc>
        <w:tc>
          <w:tcPr>
            <w:tcW w:w="6367" w:type="dxa"/>
            <w:tcBorders>
              <w:end w:val="single" w:sz="6" w:space="0" w:color="008080"/>
            </w:tcBorders>
            <w:shd w:fill="C0C0C0" w:val="clear"/>
          </w:tcPr>
          <w:p>
            <w:pPr>
              <w:pStyle w:val="Normal"/>
              <w:rPr>
                <w:sz w:val="24"/>
              </w:rPr>
            </w:pPr>
            <w:r>
              <w:rPr>
                <w:sz w:val="24"/>
              </w:rPr>
              <w:t>Sandi McCubbin.  Marcie Milner to provide support.</w:t>
            </w:r>
          </w:p>
        </w:tc>
      </w:tr>
      <w:tr>
        <w:trPr/>
        <w:tc>
          <w:tcPr>
            <w:tcW w:w="2489" w:type="dxa"/>
            <w:tcBorders>
              <w:start w:val="single" w:sz="6" w:space="0" w:color="008080"/>
            </w:tcBorders>
          </w:tcPr>
          <w:p>
            <w:pPr>
              <w:pStyle w:val="Normal"/>
              <w:rPr>
                <w:sz w:val="24"/>
              </w:rPr>
            </w:pPr>
            <w:r>
              <w:rPr>
                <w:sz w:val="24"/>
              </w:rPr>
              <w:t>Resource development support in Calfornia</w:t>
            </w:r>
          </w:p>
        </w:tc>
        <w:tc>
          <w:tcPr>
            <w:tcW w:w="6367" w:type="dxa"/>
            <w:tcBorders>
              <w:end w:val="single" w:sz="6" w:space="0" w:color="008080"/>
            </w:tcBorders>
          </w:tcPr>
          <w:p>
            <w:pPr>
              <w:pStyle w:val="Normal"/>
              <w:rPr>
                <w:sz w:val="24"/>
              </w:rPr>
            </w:pPr>
            <w:r>
              <w:rPr>
                <w:sz w:val="24"/>
              </w:rPr>
              <w:t>Sandi McCubbin</w:t>
            </w:r>
          </w:p>
        </w:tc>
      </w:tr>
      <w:tr>
        <w:trPr/>
        <w:tc>
          <w:tcPr>
            <w:tcW w:w="2489" w:type="dxa"/>
            <w:tcBorders>
              <w:start w:val="single" w:sz="6" w:space="0" w:color="008080"/>
            </w:tcBorders>
            <w:shd w:fill="C0C0C0" w:val="clear"/>
          </w:tcPr>
          <w:p>
            <w:pPr>
              <w:pStyle w:val="Normal"/>
              <w:rPr>
                <w:sz w:val="24"/>
              </w:rPr>
            </w:pPr>
            <w:r>
              <w:rPr>
                <w:sz w:val="24"/>
              </w:rPr>
              <w:t>QF Issues</w:t>
            </w:r>
          </w:p>
        </w:tc>
        <w:tc>
          <w:tcPr>
            <w:tcW w:w="6367" w:type="dxa"/>
            <w:tcBorders>
              <w:end w:val="single" w:sz="6" w:space="0" w:color="008080"/>
            </w:tcBorders>
            <w:shd w:fill="C0C0C0" w:val="clear"/>
          </w:tcPr>
          <w:p>
            <w:pPr>
              <w:pStyle w:val="Normal"/>
              <w:rPr>
                <w:sz w:val="24"/>
              </w:rPr>
            </w:pPr>
            <w:r>
              <w:rPr>
                <w:sz w:val="24"/>
              </w:rPr>
              <w:t>Jeff Dasovich and Paul Kaufman</w:t>
            </w:r>
          </w:p>
        </w:tc>
      </w:tr>
      <w:tr>
        <w:trPr/>
        <w:tc>
          <w:tcPr>
            <w:tcW w:w="2489" w:type="dxa"/>
            <w:tcBorders>
              <w:start w:val="single" w:sz="6" w:space="0" w:color="008080"/>
              <w:bottom w:val="single" w:sz="12" w:space="0" w:color="008080"/>
            </w:tcBorders>
          </w:tcPr>
          <w:p>
            <w:pPr>
              <w:pStyle w:val="Normal"/>
              <w:rPr>
                <w:sz w:val="24"/>
              </w:rPr>
            </w:pPr>
            <w:r>
              <w:rPr>
                <w:sz w:val="24"/>
              </w:rPr>
              <w:t>Activities in remaining Western States</w:t>
            </w:r>
          </w:p>
        </w:tc>
        <w:tc>
          <w:tcPr>
            <w:tcW w:w="6367" w:type="dxa"/>
            <w:tcBorders>
              <w:bottom w:val="single" w:sz="12" w:space="0" w:color="008080"/>
              <w:end w:val="single" w:sz="6" w:space="0" w:color="008080"/>
            </w:tcBorders>
          </w:tcPr>
          <w:p>
            <w:pPr>
              <w:pStyle w:val="Normal"/>
              <w:rPr>
                <w:sz w:val="24"/>
              </w:rPr>
            </w:pPr>
            <w:r>
              <w:rPr>
                <w:sz w:val="24"/>
              </w:rPr>
              <w:t>Paul Kaufman and Marcie Milner</w:t>
            </w:r>
          </w:p>
        </w:tc>
      </w:tr>
    </w:tbl>
    <w:p>
      <w:pPr>
        <w:pStyle w:val="Normal"/>
        <w:rPr>
          <w:sz w:val="24"/>
        </w:rPr>
      </w:pPr>
      <w:r>
        <w:rPr>
          <w:sz w:val="24"/>
        </w:rPr>
      </w:r>
    </w:p>
    <w:p>
      <w:pPr>
        <w:pStyle w:val="Heading1"/>
        <w:ind w:hanging="0" w:start="0"/>
        <w:rPr/>
      </w:pPr>
      <w:r>
        <w:rPr/>
        <w:t>Additional Notes</w:t>
      </w:r>
    </w:p>
    <w:p>
      <w:pPr>
        <w:pStyle w:val="Normal"/>
        <w:jc w:val="center"/>
        <w:rPr>
          <w:sz w:val="24"/>
        </w:rPr>
      </w:pPr>
      <w:r>
        <w:rPr>
          <w:sz w:val="24"/>
        </w:rPr>
      </w:r>
    </w:p>
    <w:p>
      <w:pPr>
        <w:pStyle w:val="Normal"/>
        <w:numPr>
          <w:ilvl w:val="0"/>
          <w:numId w:val="2"/>
        </w:numPr>
        <w:rPr>
          <w:sz w:val="24"/>
        </w:rPr>
      </w:pPr>
      <w:r>
        <w:rPr>
          <w:sz w:val="24"/>
        </w:rPr>
        <w:t>Responsible person is primary commercial contact and responsible for initial intake of matter/action.  Person not necessarily responsible for completing any action determined to be necessary.</w:t>
      </w:r>
    </w:p>
    <w:p>
      <w:pPr>
        <w:pStyle w:val="Normal"/>
        <w:numPr>
          <w:ilvl w:val="0"/>
          <w:numId w:val="2"/>
        </w:numPr>
        <w:rPr>
          <w:sz w:val="24"/>
        </w:rPr>
      </w:pPr>
      <w:r>
        <w:rPr>
          <w:sz w:val="24"/>
        </w:rPr>
        <w:t>Resources available to us:  internal to region, Harry Kingerski’s group, outside resources through RCR.</w:t>
      </w:r>
    </w:p>
    <w:p>
      <w:pPr>
        <w:pStyle w:val="Normal"/>
        <w:numPr>
          <w:ilvl w:val="0"/>
          <w:numId w:val="2"/>
        </w:numPr>
        <w:rPr>
          <w:sz w:val="24"/>
        </w:rPr>
      </w:pPr>
      <w:r>
        <w:rPr>
          <w:sz w:val="24"/>
        </w:rPr>
        <w:t xml:space="preserve">Initial intake and recommendation for resources/actions to be discussed at staff meetings.  </w:t>
      </w:r>
    </w:p>
    <w:p>
      <w:pPr>
        <w:pStyle w:val="Normal"/>
        <w:numPr>
          <w:ilvl w:val="0"/>
          <w:numId w:val="2"/>
        </w:numPr>
        <w:rPr>
          <w:sz w:val="24"/>
        </w:rPr>
      </w:pPr>
      <w:r>
        <w:rPr>
          <w:sz w:val="24"/>
        </w:rPr>
        <w:t>Table above does not include NCSL assignment to Sandi McCubbin for West.</w:t>
      </w:r>
    </w:p>
    <w:p>
      <w:pPr>
        <w:pStyle w:val="Normal"/>
        <w:numPr>
          <w:ilvl w:val="0"/>
          <w:numId w:val="2"/>
        </w:numPr>
        <w:rPr>
          <w:sz w:val="24"/>
        </w:rPr>
      </w:pPr>
      <w:r>
        <w:rPr>
          <w:sz w:val="24"/>
        </w:rPr>
        <w:t>Alan Comnes’ primary responsibility is to support ENA trading desk.  However, he will also assist on “retail” matters where resolution will limit exposure of ENA activities and on other retail matters on a time available basis.</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2000-11-30T17:09:00Z</dcterms:created>
  <dc:creator>pkaufma</dc:creator>
  <dc:description/>
  <dc:language>en-CA</dc:language>
  <cp:lastModifiedBy>pkaufma</cp:lastModifiedBy>
  <dcterms:modified xsi:type="dcterms:W3CDTF">2000-11-30T18:28:00Z</dcterms:modified>
  <cp:revision>1</cp:revision>
  <dc:subject/>
  <dc:title>Resource Allocation in Western States</dc:title>
</cp:coreProperties>
</file>