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04/25/2001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CD HOLDING COMPANY,LLC, a limited liability company organized under the law of the State of ________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$150,000,000 (or its equivalent in another currency); with respect to Party A’s Credit Support Provider, U.S. $150,000,000 (or its equivalent in another currency); and with respect to Party B, U.S. $3,000,000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atLeast" w:line="240"/>
        <w:ind w:firstLine="720" w:end="0"/>
        <w:jc w:val="both"/>
        <w:rPr>
          <w:color w:val="993300"/>
          <w:sz w:val="22"/>
          <w:szCs w:val="22"/>
        </w:rPr>
      </w:pPr>
      <w:r>
        <w:rPr>
          <w:color w:val="993300"/>
          <w:sz w:val="22"/>
          <w:szCs w:val="22"/>
        </w:rPr>
      </w:r>
    </w:p>
    <w:p>
      <w:pPr>
        <w:pStyle w:val="Normal"/>
        <w:spacing w:lineRule="atLeast" w:line="240"/>
        <w:ind w:firstLine="720" w:end="0"/>
        <w:jc w:val="both"/>
        <w:rPr/>
      </w:pPr>
      <w:r>
        <w:rPr>
          <w:sz w:val="22"/>
          <w:szCs w:val="22"/>
        </w:rPr>
        <w:t>(h)</w:t>
        <w:tab/>
      </w:r>
      <w:r>
        <w:rPr>
          <w:b/>
          <w:bCs/>
          <w:sz w:val="22"/>
          <w:szCs w:val="22"/>
        </w:rPr>
        <w:t>Additional Termination Event</w:t>
      </w:r>
      <w:r>
        <w:rPr>
          <w:sz w:val="22"/>
          <w:szCs w:val="22"/>
        </w:rPr>
        <w:t xml:space="preserve"> will apply.  (i)  The following will each constitute an Additional Termination Event with respect to Party B:</w:t>
      </w:r>
    </w:p>
    <w:p>
      <w:pPr>
        <w:pStyle w:val="Normal"/>
        <w:spacing w:lineRule="atLeast" w:line="240"/>
        <w:ind w:firstLine="720" w:end="0"/>
        <w:jc w:val="both"/>
        <w:rPr>
          <w:sz w:val="22"/>
          <w:szCs w:val="22"/>
        </w:rPr>
      </w:pPr>
      <w:r>
        <w:rPr>
          <w:sz w:val="22"/>
          <w:szCs w:val="22"/>
        </w:rPr>
      </w:r>
    </w:p>
    <w:p>
      <w:pPr>
        <w:pStyle w:val="Normal"/>
        <w:ind w:hanging="720" w:start="1440" w:end="0"/>
        <w:jc w:val="both"/>
        <w:rPr/>
      </w:pPr>
      <w:r>
        <w:rPr>
          <w:sz w:val="22"/>
          <w:szCs w:val="22"/>
        </w:rPr>
        <w:t>(a)</w:t>
        <w:tab/>
      </w:r>
      <w:r>
        <w:rPr>
          <w:sz w:val="22"/>
        </w:rPr>
        <w:t>If in any consecutive twelve (12) month period the Net Asset Value of Party B declines by more than 40 %.</w:t>
      </w:r>
    </w:p>
    <w:p>
      <w:pPr>
        <w:pStyle w:val="Normal"/>
        <w:spacing w:lineRule="atLeast" w:line="240"/>
        <w:jc w:val="both"/>
        <w:rPr>
          <w:sz w:val="22"/>
          <w:szCs w:val="22"/>
        </w:rPr>
      </w:pPr>
      <w:r>
        <w:rPr>
          <w:sz w:val="22"/>
          <w:szCs w:val="22"/>
        </w:rPr>
      </w:r>
    </w:p>
    <w:p>
      <w:pPr>
        <w:pStyle w:val="Normal"/>
        <w:numPr>
          <w:ilvl w:val="0"/>
          <w:numId w:val="4"/>
        </w:numPr>
        <w:jc w:val="both"/>
        <w:rPr>
          <w:sz w:val="22"/>
          <w:szCs w:val="22"/>
        </w:rPr>
      </w:pPr>
      <w:r>
        <w:rPr>
          <w:sz w:val="22"/>
          <w:szCs w:val="22"/>
        </w:rPr>
        <w:t xml:space="preserve">If the ratio of its Liabilities to Net Asset Value is greater than 0.25 to 1.00. </w:t>
      </w:r>
    </w:p>
    <w:p>
      <w:pPr>
        <w:pStyle w:val="Normal"/>
        <w:ind w:start="720" w:end="0"/>
        <w:jc w:val="both"/>
        <w:rPr>
          <w:sz w:val="22"/>
          <w:szCs w:val="22"/>
        </w:rPr>
      </w:pPr>
      <w:r>
        <w:rPr>
          <w:sz w:val="22"/>
          <w:szCs w:val="22"/>
        </w:rPr>
      </w:r>
    </w:p>
    <w:p>
      <w:pPr>
        <w:pStyle w:val="Normal"/>
        <w:numPr>
          <w:ilvl w:val="0"/>
          <w:numId w:val="4"/>
        </w:numPr>
        <w:jc w:val="both"/>
        <w:rPr>
          <w:sz w:val="22"/>
          <w:szCs w:val="22"/>
        </w:rPr>
      </w:pPr>
      <w:r>
        <w:rPr>
          <w:sz w:val="22"/>
          <w:szCs w:val="22"/>
        </w:rPr>
        <w:t>If the Net Asset Value falls below $80,000,000.</w:t>
      </w:r>
    </w:p>
    <w:p>
      <w:pPr>
        <w:pStyle w:val="Normal"/>
        <w:jc w:val="both"/>
        <w:rPr>
          <w:sz w:val="22"/>
          <w:szCs w:val="22"/>
        </w:rPr>
      </w:pPr>
      <w:r>
        <w:rPr>
          <w:sz w:val="22"/>
          <w:szCs w:val="22"/>
        </w:rPr>
      </w:r>
    </w:p>
    <w:p>
      <w:pPr>
        <w:pStyle w:val="Normal"/>
        <w:numPr>
          <w:ilvl w:val="0"/>
          <w:numId w:val="4"/>
        </w:numPr>
        <w:jc w:val="both"/>
        <w:rPr>
          <w:sz w:val="22"/>
          <w:szCs w:val="22"/>
        </w:rPr>
      </w:pPr>
      <w:r>
        <w:rPr>
          <w:sz w:val="22"/>
          <w:szCs w:val="22"/>
        </w:rPr>
        <w:t>In the event there exists one Manager, if the Manager resigns, is terminated, or is otherwise incapacitated for a period exceeding one month.  In the event there exists more than one Manager, if for a coincident period of one month, all of the Managers have resigned, been terminated, or have otherwise been incapacitated.</w:t>
      </w:r>
    </w:p>
    <w:p>
      <w:pPr>
        <w:pStyle w:val="Normal"/>
        <w:jc w:val="both"/>
        <w:rPr>
          <w:sz w:val="22"/>
          <w:szCs w:val="22"/>
        </w:rPr>
      </w:pPr>
      <w:r>
        <w:rPr>
          <w:sz w:val="22"/>
          <w:szCs w:val="22"/>
        </w:rPr>
      </w:r>
    </w:p>
    <w:p>
      <w:pPr>
        <w:pStyle w:val="Normal"/>
        <w:ind w:hanging="720" w:start="1440" w:end="0"/>
        <w:jc w:val="both"/>
        <w:rPr>
          <w:sz w:val="22"/>
          <w:szCs w:val="22"/>
        </w:rPr>
      </w:pPr>
      <w:r>
        <w:rPr>
          <w:sz w:val="22"/>
          <w:szCs w:val="22"/>
        </w:rPr>
        <w:t>(e)</w:t>
        <w:tab/>
        <w:t>If the Manager ceases to be Charles E. Davidson and an alternate Manager acceptable to Party A has not assumed the responsibilities of Manager.</w:t>
      </w:r>
    </w:p>
    <w:p>
      <w:pPr>
        <w:pStyle w:val="Normal"/>
        <w:ind w:hanging="720" w:start="1440" w:end="0"/>
        <w:jc w:val="both"/>
        <w:rPr>
          <w:sz w:val="22"/>
          <w:szCs w:val="22"/>
        </w:rPr>
      </w:pPr>
      <w:r>
        <w:rPr>
          <w:sz w:val="22"/>
          <w:szCs w:val="22"/>
        </w:rPr>
      </w:r>
    </w:p>
    <w:p>
      <w:pPr>
        <w:pStyle w:val="Normal"/>
        <w:ind w:hanging="720" w:start="1440" w:end="0"/>
        <w:jc w:val="both"/>
        <w:rPr>
          <w:color w:val="FF0000"/>
          <w:sz w:val="22"/>
          <w:szCs w:val="22"/>
        </w:rPr>
      </w:pPr>
      <w:r>
        <w:rPr>
          <w:sz w:val="22"/>
          <w:szCs w:val="22"/>
        </w:rPr>
        <w:t>(f)</w:t>
        <w:tab/>
        <w:t>If the Management Agreement is terminated by either the Manager or Party B (including breach of the Management Agreement or the Investment Policy).</w:t>
      </w:r>
    </w:p>
    <w:p>
      <w:pPr>
        <w:pStyle w:val="Normal"/>
        <w:ind w:hanging="720" w:start="1440" w:end="0"/>
        <w:jc w:val="both"/>
        <w:rPr>
          <w:color w:val="000000"/>
          <w:sz w:val="22"/>
          <w:szCs w:val="22"/>
        </w:rPr>
      </w:pPr>
      <w:r>
        <w:rPr>
          <w:color w:val="000000"/>
          <w:sz w:val="22"/>
          <w:szCs w:val="22"/>
        </w:rPr>
      </w:r>
    </w:p>
    <w:p>
      <w:pPr>
        <w:pStyle w:val="Normal"/>
        <w:numPr>
          <w:ilvl w:val="0"/>
          <w:numId w:val="2"/>
        </w:numPr>
        <w:jc w:val="both"/>
        <w:rPr>
          <w:color w:val="000000"/>
          <w:sz w:val="22"/>
          <w:szCs w:val="22"/>
        </w:rPr>
      </w:pPr>
      <w:r>
        <w:rPr>
          <w:color w:val="000000"/>
          <w:sz w:val="22"/>
          <w:szCs w:val="22"/>
        </w:rPr>
        <w:t>The following will constitute an Additional Termination Event with respect to Party A:</w:t>
      </w:r>
    </w:p>
    <w:p>
      <w:pPr>
        <w:pStyle w:val="Normal"/>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Party A’s Credit Support Provider’s Credit Rating is below BBB- by S&amp;P, or if it has no Credit Rating from S&amp;P, Party A’s Credit Support Provider’s Credit Rating is below Baa3 by Moody’s, or Party A’s Credit Support Provider fails to have a Credit Rating from either S&amp;P or Moody’s.</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hanging="14" w:start="1454" w:end="0"/>
        <w:jc w:val="both"/>
        <w:rPr/>
      </w:pPr>
      <w:r>
        <w:rPr>
          <w:sz w:val="22"/>
          <w:szCs w:val="22"/>
        </w:rPr>
        <w:t xml:space="preserve">Party B is a limited liability company (that is treated as a partnership for federal income tax purposes) organized under the laws of the State of </w:t>
      </w:r>
      <w:r>
        <w:rPr>
          <w:sz w:val="22"/>
          <w:szCs w:val="22"/>
          <w:u w:val="single"/>
        </w:rPr>
        <w:tab/>
        <w:tab/>
        <w:tab/>
      </w:r>
      <w:r>
        <w:rPr>
          <w:sz w:val="22"/>
          <w:szCs w:val="22"/>
        </w:rPr>
        <w:t>.</w:t>
      </w:r>
    </w:p>
    <w:p>
      <w:pPr>
        <w:pStyle w:val="Normal"/>
        <w:spacing w:lineRule="exact" w:line="240" w:before="24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gridSpan w:val="2"/>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gridSpan w:val="2"/>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gridSpan w:val="2"/>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incorporation and bylaws documents as well as its prospectus or offering memorandum</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rStyle w:val="FootnoteCharacters"/>
                <w:sz w:val="22"/>
                <w:szCs w:val="22"/>
              </w:rPr>
            </w:pPr>
            <w:r>
              <w:rPr>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rPr>
              <w:t>Letter from Manager in form and substance satisfactory to Party A</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69"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50" w:type="dxa"/>
            <w:gridSpan w:val="3"/>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20 days after the end of each month</w:t>
            </w:r>
          </w:p>
        </w:tc>
        <w:tc>
          <w:tcPr>
            <w:tcW w:w="1980"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rStyle w:val="FootnoteCharacters"/>
                <w:sz w:val="22"/>
                <w:szCs w:val="22"/>
              </w:rPr>
            </w:pPr>
            <w:r>
              <w:rPr>
                <w:sz w:val="22"/>
                <w:szCs w:val="22"/>
              </w:rPr>
              <w:t xml:space="preserve"> </w:t>
            </w:r>
            <w:r>
              <w:rPr>
                <w:color w:val="FF0000"/>
                <w:sz w:val="22"/>
                <w:szCs w:val="22"/>
              </w:rPr>
              <w:t xml:space="preserve"> </w:t>
            </w:r>
            <w:r>
              <w:rPr>
                <w:sz w:val="22"/>
                <w:szCs w:val="22"/>
              </w:rPr>
              <w:t>Party B</w:t>
            </w:r>
          </w:p>
        </w:tc>
        <w:tc>
          <w:tcPr>
            <w:tcW w:w="3869" w:type="dxa"/>
            <w:tcBorders/>
          </w:tcPr>
          <w:p>
            <w:pPr>
              <w:pStyle w:val="Normal"/>
              <w:snapToGrid w:val="false"/>
              <w:jc w:val="both"/>
              <w:rPr>
                <w:rStyle w:val="FootnoteCharacters"/>
                <w:sz w:val="22"/>
                <w:szCs w:val="22"/>
              </w:rPr>
            </w:pPr>
            <w:r>
              <w:rPr/>
            </w:r>
          </w:p>
          <w:p>
            <w:pPr>
              <w:pStyle w:val="Normal"/>
              <w:jc w:val="both"/>
              <w:rPr/>
            </w:pPr>
            <w:r>
              <w:rPr>
                <w:sz w:val="22"/>
              </w:rPr>
              <w:t>A copy of the quarterly and annual engineering reports, respectively, which reports evaluate the reserves, including, with particularity, the proved developed producing reserves, owned by Party B as of a date not earlier that 60 days prior to the date of such report, prepared by [</w:t>
            </w:r>
            <w:r>
              <w:rPr>
                <w:b/>
                <w:bCs/>
                <w:sz w:val="22"/>
                <w:u w:val="single"/>
              </w:rPr>
              <w:t>insert name</w:t>
            </w:r>
            <w:r>
              <w:rPr>
                <w:sz w:val="22"/>
                <w:u w:val="single"/>
              </w:rPr>
              <w:t xml:space="preserve"> </w:t>
            </w:r>
            <w:r>
              <w:rPr>
                <w:sz w:val="22"/>
              </w:rPr>
              <w:t>or such other] [an] independent third party engineering firm that is acceptable to Party A (the “Engineering Report”)</w:t>
            </w:r>
          </w:p>
        </w:tc>
        <w:tc>
          <w:tcPr>
            <w:tcW w:w="2250" w:type="dxa"/>
            <w:gridSpan w:val="3"/>
            <w:tcBorders/>
          </w:tcPr>
          <w:p>
            <w:pPr>
              <w:pStyle w:val="Normal"/>
              <w:snapToGrid w:val="false"/>
              <w:rPr>
                <w:sz w:val="22"/>
              </w:rPr>
            </w:pPr>
            <w:r>
              <w:rPr>
                <w:sz w:val="22"/>
              </w:rPr>
            </w:r>
          </w:p>
          <w:p>
            <w:pPr>
              <w:pStyle w:val="Normal"/>
              <w:rPr>
                <w:sz w:val="22"/>
              </w:rPr>
            </w:pPr>
            <w:r>
              <w:rPr>
                <w:sz w:val="22"/>
              </w:rPr>
              <w:t>Within 60 days after the end of each fiscal quarter (other than fiscal year end) of Party B and 90 days after the end of each fiscal year of Party B</w:t>
            </w:r>
          </w:p>
        </w:tc>
        <w:tc>
          <w:tcPr>
            <w:tcW w:w="1980" w:type="dxa"/>
            <w:tcBorders/>
          </w:tcPr>
          <w:p>
            <w:pPr>
              <w:pStyle w:val="Justified"/>
              <w:widowControl/>
              <w:snapToGrid w:val="false"/>
              <w:spacing w:before="0" w:after="0"/>
              <w:jc w:val="center"/>
              <w:rPr>
                <w:rFonts w:ascii="Times New Roman" w:hAnsi="Times New Roman" w:cs="Times New Roman"/>
                <w:sz w:val="22"/>
                <w:szCs w:val="20"/>
              </w:rPr>
            </w:pPr>
            <w:r>
              <w:rPr>
                <w:rFonts w:cs="Times New Roman" w:ascii="Times New Roman" w:hAnsi="Times New Roman"/>
                <w:sz w:val="22"/>
                <w:szCs w:val="20"/>
              </w:rPr>
            </w:r>
          </w:p>
          <w:p>
            <w:pPr>
              <w:pStyle w:val="Normal"/>
              <w:jc w:val="center"/>
              <w:rPr>
                <w:sz w:val="22"/>
              </w:rPr>
            </w:pPr>
            <w:r>
              <w:rPr>
                <w:sz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CD Holding Company, LLC</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color w:val="FF0000"/>
          <w:sz w:val="22"/>
          <w:szCs w:val="22"/>
        </w:rPr>
        <w:t xml:space="preserve"> </w:t>
      </w:r>
      <w:r>
        <w:rPr>
          <w:sz w:val="22"/>
          <w:szCs w:val="22"/>
        </w:rPr>
        <w:t xml:space="preserve">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color w:val="FF0000"/>
          <w:sz w:val="22"/>
          <w:szCs w:val="22"/>
        </w:rPr>
      </w:pPr>
      <w:r>
        <w:rPr>
          <w:b/>
          <w:bCs/>
          <w:color w:val="FF0000"/>
          <w:sz w:val="22"/>
          <w:szCs w:val="22"/>
        </w:rPr>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end="0"/>
        <w:jc w:val="both"/>
        <w:rPr>
          <w:color w:val="FF0000"/>
          <w:sz w:val="22"/>
          <w:szCs w:val="22"/>
        </w:rPr>
      </w:pPr>
      <w:r>
        <w:rPr>
          <w:color w:val="FF0000"/>
          <w:sz w:val="22"/>
          <w:szCs w:val="22"/>
        </w:rPr>
      </w:r>
    </w:p>
    <w:p>
      <w:pPr>
        <w:pStyle w:val="Normal"/>
        <w:ind w:start="720" w:end="0"/>
        <w:jc w:val="both"/>
        <w:rPr>
          <w:color w:val="FF0000"/>
          <w:sz w:val="22"/>
          <w:szCs w:val="22"/>
        </w:rPr>
      </w:pPr>
      <w:r>
        <w:rPr>
          <w:color w:val="FF0000"/>
          <w:sz w:val="22"/>
          <w:szCs w:val="22"/>
        </w:rPr>
      </w:r>
    </w:p>
    <w:p>
      <w:pPr>
        <w:pStyle w:val="Normal"/>
        <w:ind w:start="720" w:end="0"/>
        <w:jc w:val="both"/>
        <w:rPr>
          <w:sz w:val="22"/>
          <w:szCs w:val="22"/>
        </w:rPr>
      </w:pPr>
      <w:r>
        <w:rPr>
          <w:sz w:val="22"/>
          <w:szCs w:val="22"/>
        </w:rPr>
      </w:r>
    </w:p>
    <w:p>
      <w:pPr>
        <w:pStyle w:val="Normal"/>
        <w:ind w:start="720" w:end="0"/>
        <w:jc w:val="both"/>
        <w:rPr/>
      </w:pPr>
      <w:r>
        <w:rPr>
          <w:sz w:val="22"/>
          <w:szCs w:val="22"/>
        </w:rPr>
        <w:t>(c)</w:t>
        <w:tab/>
      </w:r>
      <w:r>
        <w:rPr>
          <w:b/>
          <w:bCs/>
          <w:sz w:val="22"/>
          <w:szCs w:val="22"/>
        </w:rPr>
        <w:t>Additional Representations of Party B.</w:t>
      </w:r>
      <w:r>
        <w:rPr>
          <w:sz w:val="22"/>
          <w:szCs w:val="22"/>
        </w:rPr>
        <w:t xml:space="preserve">  For the purpose of Section 3 of the Agreement, </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jc w:val="both"/>
        <w:rPr>
          <w:sz w:val="22"/>
          <w:szCs w:val="22"/>
        </w:rPr>
      </w:pPr>
      <w:r>
        <w:rPr>
          <w:sz w:val="22"/>
          <w:szCs w:val="22"/>
        </w:rPr>
      </w:r>
    </w:p>
    <w:p>
      <w:pPr>
        <w:pStyle w:val="Normal"/>
        <w:numPr>
          <w:ilvl w:val="0"/>
          <w:numId w:val="3"/>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2"/>
          <w:szCs w:val="22"/>
        </w:rPr>
      </w:pPr>
      <w:r>
        <w:rPr>
          <w:sz w:val="22"/>
          <w:szCs w:val="22"/>
        </w:rPr>
      </w:r>
    </w:p>
    <w:p>
      <w:pPr>
        <w:pStyle w:val="Normal"/>
        <w:ind w:hanging="720" w:start="1440" w:end="0"/>
        <w:jc w:val="both"/>
        <w:rPr>
          <w:color w:val="FF0000"/>
          <w:sz w:val="22"/>
          <w:szCs w:val="22"/>
        </w:rPr>
      </w:pPr>
      <w:r>
        <w:rPr>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(i)</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(o)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atLeast" w:line="240" w:before="240" w:after="0"/>
        <w:ind w:firstLine="720" w:end="0"/>
        <w:jc w:val="both"/>
        <w:rPr>
          <w:sz w:val="22"/>
          <w:szCs w:val="22"/>
        </w:rPr>
      </w:pPr>
      <w:r>
        <w:rPr>
          <w:sz w:val="22"/>
          <w:szCs w:val="22"/>
        </w:rPr>
        <w:t>(p)</w:t>
        <w:tab/>
        <w:t>Additional Definitions.  Section 14 of the Agreement is hereby amended by adding the following definitions:</w:t>
      </w:r>
    </w:p>
    <w:p>
      <w:pPr>
        <w:pStyle w:val="Normal"/>
        <w:spacing w:lineRule="atLeast" w:line="240" w:before="240" w:after="0"/>
        <w:ind w:start="720" w:end="0"/>
        <w:jc w:val="both"/>
        <w:rPr/>
      </w:pPr>
      <w:r>
        <w:rPr>
          <w:sz w:val="22"/>
          <w:szCs w:val="22"/>
        </w:rPr>
        <w:t>(a)</w:t>
        <w:tab/>
      </w:r>
      <w:r>
        <w:rPr>
          <w:b/>
          <w:bCs/>
          <w:sz w:val="22"/>
          <w:szCs w:val="22"/>
        </w:rPr>
        <w:t>“Assets”</w:t>
      </w:r>
      <w:r>
        <w:rPr>
          <w:sz w:val="22"/>
          <w:szCs w:val="22"/>
        </w:rPr>
        <w:t xml:space="preserve"> means all assets of Party B.</w:t>
      </w:r>
    </w:p>
    <w:p>
      <w:pPr>
        <w:pStyle w:val="BodyTextIndent"/>
        <w:spacing w:lineRule="atLeast" w:line="240"/>
        <w:rPr/>
      </w:pPr>
      <w:r>
        <w:rPr/>
        <w:t>(b)</w:t>
        <w:tab/>
      </w:r>
      <w:r>
        <w:rPr>
          <w:b/>
          <w:bCs/>
        </w:rPr>
        <w:t xml:space="preserve">“Investment Policy” </w:t>
      </w:r>
      <w:r>
        <w:rPr/>
        <w:t>means Party B’s investment objectives, restrictions and guidelines as set forth in Party B’s prospectus, which incorporates the use of derivative products, including swaps, options and other Transactions. [e.g., investment objectives, strategy].</w:t>
      </w:r>
    </w:p>
    <w:p>
      <w:pPr>
        <w:pStyle w:val="Normal"/>
        <w:keepNext w:val="true"/>
        <w:spacing w:lineRule="atLeast" w:line="240" w:before="240" w:after="0"/>
        <w:ind w:start="720" w:end="0"/>
        <w:jc w:val="both"/>
        <w:rPr/>
      </w:pPr>
      <w:r>
        <w:rPr>
          <w:sz w:val="22"/>
          <w:szCs w:val="22"/>
        </w:rPr>
        <w:t>(c)</w:t>
        <w:tab/>
      </w:r>
      <w:r>
        <w:rPr>
          <w:b/>
          <w:bCs/>
          <w:sz w:val="22"/>
          <w:szCs w:val="22"/>
        </w:rPr>
        <w:t xml:space="preserve">“Liabilities” </w:t>
      </w:r>
      <w:r>
        <w:rPr>
          <w:sz w:val="22"/>
          <w:szCs w:val="22"/>
        </w:rPr>
        <w:t>means all liabilities of Party B, as would generally be classified as such in accordance with generally accepted accounting principles.</w:t>
      </w:r>
    </w:p>
    <w:p>
      <w:pPr>
        <w:pStyle w:val="Normal"/>
        <w:keepNext w:val="true"/>
        <w:spacing w:lineRule="atLeast" w:line="240" w:before="240" w:after="0"/>
        <w:ind w:start="720" w:end="0"/>
        <w:jc w:val="both"/>
        <w:rPr/>
      </w:pPr>
      <w:r>
        <w:rPr>
          <w:sz w:val="22"/>
          <w:szCs w:val="22"/>
        </w:rPr>
        <w:t>(d)</w:t>
        <w:tab/>
      </w:r>
      <w:r>
        <w:rPr>
          <w:b/>
          <w:bCs/>
          <w:sz w:val="22"/>
          <w:szCs w:val="22"/>
        </w:rPr>
        <w:t xml:space="preserve">“Management Agreement” </w:t>
      </w:r>
      <w:r>
        <w:rPr>
          <w:sz w:val="22"/>
          <w:szCs w:val="22"/>
        </w:rPr>
        <w:t>means that certain agreement dated ____________ between Party B and the Manager for managing the operations and affairs of Party B.</w:t>
      </w:r>
    </w:p>
    <w:p>
      <w:pPr>
        <w:pStyle w:val="Normal"/>
        <w:spacing w:lineRule="atLeast" w:line="240" w:before="240" w:after="0"/>
        <w:ind w:start="720" w:end="0"/>
        <w:jc w:val="both"/>
        <w:rPr/>
      </w:pPr>
      <w:r>
        <w:rPr>
          <w:sz w:val="22"/>
          <w:szCs w:val="22"/>
        </w:rPr>
        <w:t>(e)</w:t>
        <w:tab/>
      </w:r>
      <w:r>
        <w:rPr>
          <w:b/>
          <w:bCs/>
          <w:sz w:val="22"/>
          <w:szCs w:val="22"/>
        </w:rPr>
        <w:t xml:space="preserve">“Manager” </w:t>
      </w:r>
      <w:r>
        <w:rPr>
          <w:sz w:val="22"/>
          <w:szCs w:val="22"/>
        </w:rPr>
        <w:t>means any person(s) with ultimate authority to direct the investments of Party B, currently Charles E. Davidson.</w:t>
      </w:r>
    </w:p>
    <w:p>
      <w:pPr>
        <w:pStyle w:val="Normal"/>
        <w:keepNext w:val="true"/>
        <w:spacing w:lineRule="atLeast" w:line="240" w:before="240" w:after="0"/>
        <w:ind w:start="720" w:end="0"/>
        <w:jc w:val="both"/>
        <w:rPr>
          <w:sz w:val="22"/>
          <w:szCs w:val="22"/>
        </w:rPr>
      </w:pPr>
      <w:r>
        <w:rPr>
          <w:sz w:val="22"/>
          <w:szCs w:val="22"/>
        </w:rPr>
        <w:t>(f)</w:t>
        <w:tab/>
      </w:r>
      <w:r>
        <w:rPr>
          <w:b/>
          <w:bCs/>
          <w:sz w:val="22"/>
          <w:szCs w:val="22"/>
        </w:rPr>
        <w:t xml:space="preserve">“Net Asset Value” </w:t>
      </w:r>
      <w:r>
        <w:rPr>
          <w:sz w:val="22"/>
          <w:szCs w:val="22"/>
        </w:rPr>
        <w:t xml:space="preserve">means </w:t>
      </w:r>
      <w:r>
        <w:rPr>
          <w:color w:val="000000"/>
          <w:sz w:val="22"/>
        </w:rPr>
        <w:t>as of the relevant time of determination, an amount (expressed in United States Dollars) equal to the sum of Party B's Assets minus Liabilities.</w:t>
      </w:r>
    </w:p>
    <w:p>
      <w:pPr>
        <w:pStyle w:val="Normal"/>
        <w:spacing w:lineRule="atLeas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4"/>
              <w:tabs>
                <w:tab w:val="clear" w:pos="1080"/>
              </w:tabs>
              <w:spacing w:lineRule="exact" w:line="240"/>
              <w:ind w:hanging="0" w:start="0"/>
              <w:rPr/>
            </w:pPr>
            <w:r>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pPr>
            <w:r>
              <w:rPr/>
              <w:t>CD HOLDING COMPANY, LLC</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Heading5"/>
        <w:ind w:hanging="0" w:start="0"/>
        <w:rPr>
          <w:color w:val="000000"/>
        </w:rPr>
      </w:pPr>
      <w:r>
        <w:rPr>
          <w:color w:val="000000"/>
        </w:rPr>
        <w:t>DRAFT OF 04/25/01</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CD HOLDING COMPANY, LLC, a limited liability company organized under the law of the State of ________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tabs>
          <w:tab w:val="clear" w:pos="720"/>
          <w:tab w:val="left" w:pos="1080" w:leader="none"/>
        </w:tabs>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keepNext w:val="true"/>
        <w:ind w:start="1440" w:end="0"/>
        <w:jc w:val="both"/>
        <w:rPr>
          <w:b/>
          <w:bCs/>
          <w:sz w:val="22"/>
          <w:szCs w:val="22"/>
        </w:rPr>
      </w:pPr>
      <w:r>
        <w:rPr>
          <w:b/>
          <w:bCs/>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autoSpaceDE w:val="false"/>
        <w:spacing w:lineRule="atLeast" w:line="240"/>
        <w:ind w:start="720" w:end="0"/>
        <w:jc w:val="both"/>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specified as such for Party B in each Confirmation, which amount may be either increased or decreased from time to time in a Confirmation, which amount as modified shall be the Independent Amount applicable for all outstanding Transactions, provided, however, that in no event shall Party B’s Independent Amount be less than $100,000 if there are any outstanding Transactions.</w:t>
      </w:r>
    </w:p>
    <w:p>
      <w:pPr>
        <w:pStyle w:val="Normal"/>
        <w:autoSpaceDE w:val="false"/>
        <w:spacing w:lineRule="atLeast" w:line="240"/>
        <w:ind w:start="720" w:end="0"/>
        <w:jc w:val="both"/>
        <w:rPr>
          <w:color w:val="993300"/>
          <w:sz w:val="22"/>
          <w:szCs w:val="24"/>
        </w:rPr>
      </w:pPr>
      <w:r>
        <w:rPr>
          <w:color w:val="993300"/>
          <w:sz w:val="22"/>
          <w:szCs w:val="24"/>
        </w:rPr>
      </w:r>
    </w:p>
    <w:p>
      <w:pPr>
        <w:pStyle w:val="Normal"/>
        <w:autoSpaceDE w:val="false"/>
        <w:spacing w:lineRule="atLeast" w:line="240"/>
        <w:ind w:start="720" w:end="0"/>
        <w:jc w:val="both"/>
        <w:rPr/>
      </w:pPr>
      <w:r>
        <w:rPr>
          <w:sz w:val="22"/>
          <w:szCs w:val="24"/>
        </w:rPr>
        <w:t xml:space="preserve">[Notwithstanding the foregoing, the Independent Amount specified as such in the Confirmation for [Enron Deal No. </w:t>
      </w:r>
      <w:r>
        <w:rPr>
          <w:sz w:val="22"/>
          <w:szCs w:val="24"/>
          <w:u w:val="single"/>
        </w:rPr>
        <w:tab/>
      </w:r>
      <w:r>
        <w:rPr>
          <w:sz w:val="22"/>
          <w:szCs w:val="24"/>
        </w:rPr>
        <w:t xml:space="preserve">] shall cease to be an Independent Amount under this Agreement when [Enron Deal No. </w:t>
      </w:r>
      <w:r>
        <w:rPr>
          <w:sz w:val="22"/>
          <w:szCs w:val="24"/>
          <w:u w:val="single"/>
        </w:rPr>
        <w:tab/>
      </w:r>
      <w:r>
        <w:rPr>
          <w:sz w:val="22"/>
          <w:szCs w:val="24"/>
        </w:rPr>
        <w:t>] is terminated, and thereafter, shall cease to be an Independent Amount hereunder for any purpose.]</w:t>
      </w:r>
    </w:p>
    <w:p>
      <w:pPr>
        <w:pStyle w:val="Normal"/>
        <w:ind w:start="720" w:end="0"/>
        <w:jc w:val="both"/>
        <w:rPr>
          <w:color w:val="993300"/>
          <w:sz w:val="22"/>
          <w:szCs w:val="22"/>
        </w:rPr>
      </w:pPr>
      <w:r>
        <w:rPr>
          <w:color w:val="9933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$0 (zero) and with respect to Party B, U.S. $0 (zero).</w:t>
      </w:r>
    </w:p>
    <w:p>
      <w:pPr>
        <w:pStyle w:val="Normal"/>
        <w:keepNext w:val="true"/>
        <w:ind w:hanging="720" w:start="216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$100,000 </w:t>
      </w:r>
      <w:r>
        <w:rPr>
          <w:sz w:val="22"/>
          <w:szCs w:val="22"/>
        </w:rPr>
        <w:t xml:space="preserve">and the Return Amount will be rounded down to the nearest integral multiple of U.S. </w:t>
      </w:r>
      <w:r>
        <w:rPr>
          <w:color w:val="000000"/>
          <w:sz w:val="22"/>
          <w:szCs w:val="22"/>
        </w:rPr>
        <w:t>$100,000.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the face amount thereof.</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an Additional Termination Event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an Additional Termination Event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keepNext w:val="true"/>
        <w:ind w:hanging="720" w:start="720" w:end="0"/>
        <w:jc w:val="both"/>
        <w:rPr>
          <w:sz w:val="22"/>
          <w:szCs w:val="22"/>
        </w:rPr>
      </w:pPr>
      <w:r>
        <w:rPr>
          <w:sz w:val="22"/>
          <w:szCs w:val="22"/>
        </w:rPr>
        <w:t>(i)</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color w:val="FF0000"/>
          <w:sz w:val="22"/>
          <w:szCs w:val="22"/>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color w:val="FF0000"/>
          <w:sz w:val="22"/>
          <w:szCs w:val="22"/>
        </w:rPr>
      </w:pPr>
      <w:r>
        <w:rPr>
          <w:color w:val="FF0000"/>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CD HOLDING COMPANY, LLC, a </w:t>
      </w:r>
      <w:r>
        <w:rPr>
          <w:sz w:val="22"/>
          <w:szCs w:val="22"/>
          <w:u w:val="single"/>
        </w:rPr>
        <w:tab/>
        <w:tab/>
        <w:tab/>
      </w:r>
      <w:r>
        <w:rPr>
          <w:sz w:val="22"/>
          <w:szCs w:val="22"/>
        </w:rPr>
        <w:t xml:space="preserve"> limited liability company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CD Holding Company, LLC</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p>
      <w:pPr>
        <w:pStyle w:val="Normal"/>
        <w:tabs>
          <w:tab w:val="clear" w:pos="720"/>
          <w:tab w:val="left" w:pos="1080" w:leader="none"/>
        </w:tabs>
        <w:spacing w:lineRule="exact" w:line="480"/>
        <w:jc w:val="both"/>
        <w:rPr>
          <w:sz w:val="22"/>
          <w:szCs w:val="22"/>
        </w:rPr>
      </w:pPr>
      <w:r>
        <w:rPr>
          <w:sz w:val="22"/>
          <w:szCs w:val="22"/>
        </w:rPr>
      </w:r>
    </w:p>
    <w:sectPr>
      <w:footerReference w:type="default" r:id="rId5"/>
      <w:footerReference w:type="first" r:id="rId6"/>
      <w:type w:val="nextPage"/>
      <w:pgSz w:w="12240" w:h="15840"/>
      <w:pgMar w:left="1440" w:right="1440" w:gutter="0" w:header="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/mnt/main-storage/datasets/enron-docs/doc/112ctr_cd_holding_.doc</w:t>
    </w:r>
    <w:r>
      <w:rPr>
        <w:rStyle w:val="PageNumber"/>
        <w:sz w:val="12"/>
        <w:szCs w:val="16"/>
      </w:rPr>
      <w:fldChar w:fldCharType="end"/>
    </w:r>
    <w:r>
      <mc:AlternateContent>
        <mc:Choice Requires="wps">
          <w:drawing>
            <wp:anchor behindDoc="0" distT="0" distB="0" distL="0" distR="0" simplePos="0" locked="0" layoutInCell="0" allowOverlap="1" relativeHeight="13">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/mnt/main-storage/datasets/enron-docs/doc/112ctr_cd_holding_.doc</w:t>
    </w:r>
    <w:r>
      <w:rPr>
        <w:sz w:val="12"/>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/mnt/main-storage/datasets/enron-docs/doc/112ctr_cd_holding_.doc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2"/>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color w:val="000000"/>
    </w:rPr>
  </w:style>
  <w:style w:type="character" w:styleId="WW8Num28z0">
    <w:name w:val="WW8Num28z0"/>
    <w:qFormat/>
    <w:rPr/>
  </w:style>
  <w:style w:type="character" w:styleId="WW8Num33z0">
    <w:name w:val="WW8Num33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2001-04-25T17:49:00Z</dcterms:created>
  <dc:creator>mheard</dc:creator>
  <dc:description/>
  <dc:language>en-CA</dc:language>
  <cp:lastModifiedBy>spanus</cp:lastModifiedBy>
  <cp:lastPrinted>2001-04-25T16:38:00Z</cp:lastPrinted>
  <dcterms:modified xsi:type="dcterms:W3CDTF">2001-04-25T19:14:00Z</dcterms:modified>
  <cp:revision>7</cp:revision>
  <dc:subject/>
  <dc:title>ISDA Multicurrency Agreement</dc:title>
</cp:coreProperties>
</file>