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b/>
        <w:tab/>
        <w:tab/>
        <w:tab/>
        <w:tab/>
        <w:tab/>
        <w:tab/>
        <w:tab/>
        <w:tab/>
      </w:r>
      <w:r>
        <w:rPr>
          <w:b w:val="false"/>
          <w:bCs w:val="false"/>
        </w:rPr>
        <w:t>Karen Denne</w:t>
      </w:r>
    </w:p>
    <w:p>
      <w:pPr>
        <w:pStyle w:val="BodyText"/>
        <w:rPr>
          <w:b w:val="false"/>
          <w:bCs w:val="false"/>
        </w:rPr>
      </w:pPr>
      <w:r>
        <w:rPr>
          <w:b w:val="false"/>
          <w:bCs w:val="false"/>
        </w:rPr>
        <w:tab/>
        <w:tab/>
        <w:tab/>
        <w:tab/>
        <w:tab/>
        <w:tab/>
        <w:tab/>
        <w:tab/>
        <w:tab/>
        <w:t>(713) 853-9757</w:t>
      </w:r>
    </w:p>
    <w:p>
      <w:pPr>
        <w:pStyle w:val="BodyText"/>
        <w:rPr>
          <w:b w:val="false"/>
          <w:bCs w:val="false"/>
        </w:rPr>
      </w:pPr>
      <w:r>
        <w:rPr>
          <w:b w:val="false"/>
          <w:bCs w:val="false"/>
        </w:rPr>
      </w:r>
    </w:p>
    <w:p>
      <w:pPr>
        <w:pStyle w:val="BodyText"/>
        <w:rPr/>
      </w:pPr>
      <w:r>
        <w:rPr/>
      </w:r>
    </w:p>
    <w:p>
      <w:pPr>
        <w:pStyle w:val="BodyText"/>
        <w:rPr>
          <w:u w:val="single"/>
        </w:rPr>
      </w:pPr>
      <w:r>
        <w:rPr>
          <w:u w:val="single"/>
        </w:rPr>
        <w:t>ENRON ANNOUNCES PROGRESS IN EFFORTS TO BOOST LIQUIDITY; REAFFIRMS COMMITMENT TO MERGER WITH DYNEGY; WORKING WITH MAJOR LENDERS TO RESTRUCTURE DEBT OBLIGATIONS</w:t>
      </w:r>
    </w:p>
    <w:p>
      <w:pPr>
        <w:pStyle w:val="Normal"/>
        <w:rPr>
          <w:u w:val="single"/>
        </w:rPr>
      </w:pPr>
      <w:r>
        <w:rPr>
          <w:u w:val="single"/>
        </w:rPr>
      </w:r>
    </w:p>
    <w:p>
      <w:pPr>
        <w:pStyle w:val="Normal"/>
        <w:rPr/>
      </w:pPr>
      <w:r>
        <w:rPr/>
        <w:t>FOR IMMEDIATE RELEASE:  Wednesday, Nov. 21, 2001</w:t>
      </w:r>
    </w:p>
    <w:p>
      <w:pPr>
        <w:pStyle w:val="Normal"/>
        <w:rPr/>
      </w:pPr>
      <w:r>
        <w:rPr/>
        <w:tab/>
      </w:r>
    </w:p>
    <w:p>
      <w:pPr>
        <w:pStyle w:val="Normal"/>
        <w:spacing w:lineRule="auto" w:line="360"/>
        <w:ind w:firstLine="720" w:end="0"/>
        <w:rPr/>
      </w:pPr>
      <w:r>
        <w:rPr>
          <w:b/>
          <w:bCs/>
        </w:rPr>
        <w:t>HOUSTON</w:t>
      </w:r>
      <w:r>
        <w:rPr/>
        <w:t xml:space="preserve"> – Enron Corp. (NYSE:ENE) announced today that it has closed on the remaining $450 million of a previously announced $1 billion in secured credit lines from JP Morgan Securities Inc., the investment-banking arm of JP Morgan Chase &amp; Co., and Salomon Smith Barney, the investment-banking arm of Citigroup Inc., The $450 million credit facility is supported by the assets of Enron’s Northern Natural Gas Company.  A $550 million credit facility, secured by the assets of Enron’s Transwestern Pipeline Company, closed on Nov. 16.  Proceeds are being used to supplement short-term liquidity and to refinance maturing obligations.  </w:t>
      </w:r>
    </w:p>
    <w:p>
      <w:pPr>
        <w:pStyle w:val="Normal"/>
        <w:spacing w:lineRule="auto" w:line="360"/>
        <w:ind w:firstLine="720" w:end="0"/>
        <w:rPr/>
      </w:pPr>
      <w:r>
        <w:rPr/>
        <w:t>Enron also reaffirmed today its commitment to the merger with Dynegy, Inc.  “We continue to believe that this merger is in the best interests of our shareholders, employees, and lenders,” said Kenneth L. Lay, chairman and CEO of Enron.  “It offers the opportunity to create a powerful competitor in the merchant energy business with substantial growth prospects and a strong financial position.”</w:t>
      </w:r>
    </w:p>
    <w:p>
      <w:pPr>
        <w:pStyle w:val="Normal"/>
        <w:spacing w:lineRule="auto" w:line="360"/>
        <w:rPr/>
      </w:pPr>
      <w:r>
        <w:rPr/>
        <w:tab/>
        <w:t xml:space="preserve">Enron also announced that it is in active discussions with its primary lenders on a restructuring of its debt obligations to further enhance liquidity.  “We have been in continuous contact with our banks and believe we can identify a mutually beneficial restructuring to enhance our cash position, strengthen our balance sheet and address upcoming maturities,” said Jeffrey McMahon, executive vice president and chief financial officer of Enron.  “For example, we have been informed by Citigroup, the lead bank on the facility, that the maturity on our $690 million note payable obligation, disclosed on Nov. 19 in a Securities and Exchange Commission Form 10-Q, will be extended to provide the time necessary to restructure the facility.”  </w:t>
      </w:r>
    </w:p>
    <w:p>
      <w:pPr>
        <w:pStyle w:val="Normal"/>
        <w:spacing w:lineRule="auto" w:line="360"/>
        <w:rPr/>
      </w:pPr>
      <w:r>
        <w:rPr/>
        <w:tab/>
        <w:t>“We believe the interests of Chase and Enron’s other primary lenders are aligned in this restructuring effort,” said Jimmy Lee, vice chairman of JP Morgan Chase &amp; Co.  “We will work with Enron and its other primary lenders to develop a plan to strengthen Enron’s financial position up to and through its merger with Dynegy.”</w:t>
      </w:r>
    </w:p>
    <w:p>
      <w:pPr>
        <w:pStyle w:val="Normal"/>
        <w:spacing w:lineRule="auto" w:line="360"/>
        <w:rPr/>
      </w:pPr>
      <w:r>
        <w:rPr/>
        <w:tab/>
      </w:r>
      <w:r>
        <w:rPr>
          <w:szCs w:val="18"/>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szCs w:val="18"/>
          </w:rPr>
          <w:t>www.enron.com</w:t>
        </w:r>
      </w:hyperlink>
      <w:r>
        <w:rPr>
          <w:szCs w:val="18"/>
        </w:rPr>
        <w:t>. The stock is traded under the ticker symbol “ENE.”</w:t>
      </w:r>
    </w:p>
    <w:p>
      <w:pPr>
        <w:pStyle w:val="HTMLPreformatted"/>
        <w:rPr>
          <w:rFonts w:ascii="Times New Roman" w:hAnsi="Times New Roman" w:cs="Times New Roman"/>
          <w:szCs w:val="18"/>
        </w:rPr>
      </w:pPr>
      <w:r>
        <w:rPr>
          <w:rFonts w:cs="Times New Roman" w:ascii="Times New Roman" w:hAnsi="Times New Roman"/>
          <w:szCs w:val="18"/>
        </w:rPr>
      </w:r>
    </w:p>
    <w:p>
      <w:pPr>
        <w:pStyle w:val="NormalWeb"/>
        <w:rPr>
          <w:rFonts w:ascii="Verdana" w:hAnsi="Verdana" w:cs="Verdana"/>
          <w:sz w:val="18"/>
          <w:szCs w:val="18"/>
        </w:rPr>
      </w:pPr>
      <w:r>
        <w:rPr>
          <w:rFonts w:cs="Verdana" w:ascii="Verdana" w:hAnsi="Verdana"/>
          <w:sz w:val="18"/>
          <w:szCs w:val="18"/>
        </w:rPr>
        <w:t xml:space="preserve">This press release includes forward-looking statements within the meaning of Section 27A of the Securities Act of 1933 and Section 21E of the Securities Exchange Act of 1934. Although Enron believes that its expectations are based on reasonable assumptions, it can give no assurance that its goals will be achieved. Important factors that could cause actual results to differ materially from those in the forward looking statements herein include Enron’s ability to restructure scheduled maturities of debt; success in marketing natural gas and power to wholesale customers; and conditions of the capital markets and equity markets during the periods covered by the forward looking statements. </w:t>
      </w:r>
    </w:p>
    <w:p>
      <w:pPr>
        <w:pStyle w:val="HTMLPreformatted"/>
        <w:rPr>
          <w:rFonts w:ascii="Times New Roman" w:hAnsi="Times New Roman" w:cs="Times New Roman"/>
          <w:sz w:val="18"/>
          <w:szCs w:val="18"/>
        </w:rPr>
      </w:pPr>
      <w:r>
        <w:rPr>
          <w:rFonts w:cs="Times New Roman" w:ascii="Times New Roman" w:hAnsi="Times New Roman"/>
          <w:sz w:val="18"/>
          <w:szCs w:val="18"/>
        </w:rPr>
      </w:r>
    </w:p>
    <w:p>
      <w:pPr>
        <w:pStyle w:val="HTMLPreformatted"/>
        <w:rPr/>
      </w:pPr>
      <w:r>
        <w:rPr>
          <w:rFonts w:cs="Times New Roman" w:ascii="Verdana" w:hAnsi="Verdana"/>
          <w:sz w:val="18"/>
        </w:rPr>
        <w:t>In connection with the proposed transactions, Dynegy and Enron will file a joint proxy statement/prospectus with the Securities and Exchange Commission.</w:t>
      </w:r>
      <w:r>
        <w:rPr>
          <w:rFonts w:cs="Verdana" w:ascii="Verdana" w:hAnsi="Verdana"/>
          <w:sz w:val="18"/>
        </w:rPr>
        <w:t xml:space="preserve">  </w:t>
      </w:r>
      <w:r>
        <w:rPr>
          <w:rFonts w:cs="Times New Roman" w:ascii="Verdana" w:hAnsi="Verdana"/>
          <w:sz w:val="18"/>
        </w:rPr>
        <w:t>Investors and security holders are urged to carefully read the joint proxy statement/prospectus regarding the proposed transactions when it becomes available, because it will contain important information.  Investors and security holders may obtain a free copy of the joint proxy statement/prospectus (when it is available) and other documents containing information about Dynegy and Enron, without charge, at the SEC’s web site at www.sec.gov.  Copies of the joint proxy statement/prospectus and the SEC filings that will be incorporated by reference in the joint proxy statement/prospectus may also be obtained for free by directing a request to either:  Investor Relations, Dynegy Inc., 1000 Louisiana, Suite 5800, Houston, TX 77002, Phone:  (713) 507-6466, Fax:  (713) 767-6652; or Investor Relations, Enron Corp., Enron Building, 1400 Smith Street, Houston, TX 77002, Phone:  (713) 853-3956, Fax:  (713) 646-3302.</w:t>
      </w:r>
    </w:p>
    <w:p>
      <w:pPr>
        <w:pStyle w:val="HTMLPreformatted"/>
        <w:rPr>
          <w:rFonts w:ascii="Verdana" w:hAnsi="Verdana" w:cs="Times New Roman"/>
          <w:sz w:val="18"/>
        </w:rPr>
      </w:pPr>
      <w:r>
        <w:rPr>
          <w:rFonts w:cs="Times New Roman" w:ascii="Verdana" w:hAnsi="Verdana"/>
          <w:sz w:val="18"/>
        </w:rPr>
      </w:r>
    </w:p>
    <w:p>
      <w:pPr>
        <w:pStyle w:val="HTMLPreformatted"/>
        <w:rPr>
          <w:rFonts w:ascii="Verdana" w:hAnsi="Verdana" w:cs="Times New Roman"/>
          <w:sz w:val="18"/>
        </w:rPr>
      </w:pPr>
      <w:r>
        <w:rPr>
          <w:rFonts w:cs="Times New Roman" w:ascii="Verdana" w:hAnsi="Verdana"/>
          <w:sz w:val="18"/>
        </w:rPr>
        <w:t>In addition, the identity of the persons who, under SEC rules, may be considered “participants in the solicitation” of Dynegy and Enron shareholders in connection with the proposed transactions, and any description of their direct or indirect interests, by security holdings or otherwise, are available in an SEC filing under Schedule 14A made by each of Dynegy and Enron.</w:t>
      </w:r>
    </w:p>
    <w:p>
      <w:pPr>
        <w:pStyle w:val="HTMLPreformatted"/>
        <w:rPr>
          <w:rFonts w:ascii="Verdana" w:hAnsi="Verdana" w:cs="Times New Roman"/>
          <w:sz w:val="18"/>
        </w:rPr>
      </w:pPr>
      <w:r>
        <w:rPr>
          <w:rFonts w:cs="Times New Roman" w:ascii="Verdana" w:hAnsi="Verdana"/>
          <w:sz w:val="18"/>
        </w:rPr>
      </w:r>
    </w:p>
    <w:p>
      <w:pPr>
        <w:pStyle w:val="HTMLPreformatted"/>
        <w:rPr>
          <w:rFonts w:ascii="Times New Roman" w:hAnsi="Times New Roman" w:cs="Times New Roman"/>
          <w:sz w:val="18"/>
        </w:rPr>
      </w:pPr>
      <w:r>
        <w:rPr>
          <w:rFonts w:cs="Times New Roman" w:ascii="Times New Roman" w:hAnsi="Times New Roman"/>
          <w:sz w:val="18"/>
        </w:rPr>
      </w:r>
    </w:p>
    <w:p>
      <w:pPr>
        <w:pStyle w:val="Normal"/>
        <w:spacing w:lineRule="auto" w:line="360"/>
        <w:jc w:val="center"/>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Arial Unicode MS">
    <w:charset w:val="80"/>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VEBodyText">
    <w:name w:val="VE Body Text"/>
    <w:basedOn w:val="Normal"/>
    <w:qFormat/>
    <w:pPr>
      <w:spacing w:before="0" w:after="240"/>
      <w:jc w:val="both"/>
    </w:pPr>
    <w:rPr>
      <w:rFonts w:cs="Arial"/>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2001-11-21T10:09:00Z</dcterms:created>
  <dc:creator>skean</dc:creator>
  <dc:description/>
  <dc:language>en-CA</dc:language>
  <cp:lastModifiedBy>kdenne</cp:lastModifiedBy>
  <cp:lastPrinted>2001-11-21T06:08:00Z</cp:lastPrinted>
  <dcterms:modified xsi:type="dcterms:W3CDTF">2001-11-21T11:26:00Z</dcterms:modified>
  <cp:revision>5</cp:revision>
  <dc:subject/>
  <dc:title>ENRON REAFFIRMS COMMITMENT TO MERGER WITH DYNEGY; WORKING WITH MAJOR LENDERS ON RESTRUCTURING DEBT OBLIGATIONS</dc:title>
</cp:coreProperties>
</file>