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Overall Recommendations for Synchronizing</w:t>
      </w:r>
    </w:p>
    <w:p>
      <w:pPr>
        <w:pStyle w:val="Normal"/>
        <w:jc w:val="center"/>
        <w:rPr/>
      </w:pPr>
      <w:r>
        <w:rPr/>
        <w:t>Dynegy/Enron and NWN/PGE Transactions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FERC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 xml:space="preserve">NWN/PGE application.  Include footnote stating:  </w:t>
      </w:r>
    </w:p>
    <w:p>
      <w:pPr>
        <w:pStyle w:val="Normal"/>
        <w:numPr>
          <w:ilvl w:val="2"/>
          <w:numId w:val="1"/>
        </w:numPr>
        <w:rPr/>
      </w:pPr>
      <w:r>
        <w:rPr/>
        <w:t xml:space="preserve">Dynegy/Enron transaction has been announced; </w:t>
      </w:r>
    </w:p>
    <w:p>
      <w:pPr>
        <w:pStyle w:val="Normal"/>
        <w:numPr>
          <w:ilvl w:val="2"/>
          <w:numId w:val="1"/>
        </w:numPr>
        <w:rPr/>
      </w:pPr>
      <w:r>
        <w:rPr/>
        <w:t>Dynegy and Enron committed to NWN/PGE transaction; and</w:t>
      </w:r>
    </w:p>
    <w:p>
      <w:pPr>
        <w:pStyle w:val="Normal"/>
        <w:numPr>
          <w:ilvl w:val="2"/>
          <w:numId w:val="1"/>
        </w:numPr>
        <w:rPr/>
      </w:pPr>
      <w:r>
        <w:rPr/>
        <w:t>Dynegy and Enron expect NWN/PGE transaction to close prior to Dynegy/Enron transaction.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Dynegy/Enron application—subject to pre-filing meeting advice of staff.</w:t>
      </w:r>
    </w:p>
    <w:p>
      <w:pPr>
        <w:pStyle w:val="Normal"/>
        <w:numPr>
          <w:ilvl w:val="2"/>
          <w:numId w:val="1"/>
        </w:numPr>
        <w:rPr/>
      </w:pPr>
      <w:r>
        <w:rPr/>
        <w:t>Seek authorization to acquire PGE under 203.</w:t>
      </w:r>
    </w:p>
    <w:p>
      <w:pPr>
        <w:pStyle w:val="Normal"/>
        <w:numPr>
          <w:ilvl w:val="2"/>
          <w:numId w:val="1"/>
        </w:numPr>
        <w:rPr/>
      </w:pPr>
      <w:r>
        <w:rPr/>
        <w:t>Include market power analysis assuming continued ownership of PGE;</w:t>
      </w:r>
    </w:p>
    <w:p>
      <w:pPr>
        <w:pStyle w:val="Normal"/>
        <w:numPr>
          <w:ilvl w:val="2"/>
          <w:numId w:val="1"/>
        </w:numPr>
        <w:rPr/>
      </w:pPr>
      <w:r>
        <w:rPr/>
        <w:t>Application to discuss intended schedule for NWN/PGE transaction and commitment of Dynegy to sell PGE within time certain;</w:t>
      </w:r>
    </w:p>
    <w:p>
      <w:pPr>
        <w:pStyle w:val="Normal"/>
        <w:numPr>
          <w:ilvl w:val="2"/>
          <w:numId w:val="1"/>
        </w:numPr>
        <w:rPr/>
      </w:pPr>
      <w:r>
        <w:rPr/>
        <w:t>Entertain other conditions intended to “isolate” PGE.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SEC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NWN/PGE transaction.  Include footnote as above in no-action letter request (and possibly NWN application).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 xml:space="preserve">Dynegy/Enron.  Additional analysis indicates that a formal application may be necessary.  “Voting trust” may not work—given:  </w:t>
      </w:r>
    </w:p>
    <w:p>
      <w:pPr>
        <w:pStyle w:val="Normal"/>
        <w:numPr>
          <w:ilvl w:val="2"/>
          <w:numId w:val="1"/>
        </w:numPr>
        <w:rPr/>
      </w:pPr>
      <w:r>
        <w:rPr/>
        <w:t>that continued ownership of PGE an issue only if NWN/PGE transaction completely fails; and</w:t>
      </w:r>
    </w:p>
    <w:p>
      <w:pPr>
        <w:pStyle w:val="Normal"/>
        <w:numPr>
          <w:ilvl w:val="2"/>
          <w:numId w:val="1"/>
        </w:numPr>
        <w:rPr/>
      </w:pPr>
      <w:r>
        <w:rPr/>
        <w:t>voting trust will prevent future sale of PGE.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Oregon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Counsel recommendations:</w:t>
      </w:r>
    </w:p>
    <w:p>
      <w:pPr>
        <w:pStyle w:val="Normal"/>
        <w:numPr>
          <w:ilvl w:val="2"/>
          <w:numId w:val="1"/>
        </w:numPr>
        <w:rPr/>
      </w:pPr>
      <w:r>
        <w:rPr/>
        <w:t>Larry Reichman—Perkins Coie.  Phone:  503.727.2019.</w:t>
      </w:r>
    </w:p>
    <w:p>
      <w:pPr>
        <w:pStyle w:val="Normal"/>
        <w:numPr>
          <w:ilvl w:val="2"/>
          <w:numId w:val="1"/>
        </w:numPr>
        <w:rPr/>
      </w:pPr>
      <w:r>
        <w:rPr/>
        <w:t xml:space="preserve">John Wiley Gould—Lane Powell. </w:t>
      </w:r>
    </w:p>
    <w:p>
      <w:pPr>
        <w:pStyle w:val="Normal"/>
        <w:numPr>
          <w:ilvl w:val="2"/>
          <w:numId w:val="1"/>
        </w:numPr>
        <w:rPr/>
      </w:pPr>
      <w:r>
        <w:rPr/>
        <w:t>We do not recommend using the Davis Wright law firm.  Stoel Rives is currently representing NWN.  Tonkon Torp is counsel for Enron.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Overall message:  </w:t>
      </w:r>
    </w:p>
    <w:p>
      <w:pPr>
        <w:pStyle w:val="Normal"/>
        <w:numPr>
          <w:ilvl w:val="2"/>
          <w:numId w:val="1"/>
        </w:numPr>
        <w:rPr/>
      </w:pPr>
      <w:r>
        <w:rPr/>
        <w:t>Dynegy is committed to the NWN/PGE transaction.</w:t>
      </w:r>
    </w:p>
    <w:p>
      <w:pPr>
        <w:pStyle w:val="Normal"/>
        <w:numPr>
          <w:ilvl w:val="2"/>
          <w:numId w:val="1"/>
        </w:numPr>
        <w:rPr/>
      </w:pPr>
      <w:r>
        <w:rPr/>
        <w:t>Dynegy does not need the NWN/PGE transaction to close in order to proceed with Dynegy/Enron</w:t>
      </w:r>
    </w:p>
    <w:p>
      <w:pPr>
        <w:pStyle w:val="Normal"/>
        <w:numPr>
          <w:ilvl w:val="2"/>
          <w:numId w:val="1"/>
        </w:numPr>
        <w:rPr/>
      </w:pPr>
      <w:r>
        <w:rPr/>
        <w:t>Dynegy is committed to selling PGE—even if NWN/PGE doesn’t close</w:t>
      </w:r>
    </w:p>
    <w:p>
      <w:pPr>
        <w:pStyle w:val="Normal"/>
        <w:numPr>
          <w:ilvl w:val="2"/>
          <w:numId w:val="1"/>
        </w:numPr>
        <w:rPr/>
      </w:pPr>
      <w:r>
        <w:rPr/>
        <w:t xml:space="preserve">Like Enron, Dynegy wants exit from NWN/PGE stock ownership.  </w:t>
      </w:r>
    </w:p>
    <w:p>
      <w:pPr>
        <w:pStyle w:val="Normal"/>
        <w:numPr>
          <w:ilvl w:val="1"/>
          <w:numId w:val="1"/>
        </w:numPr>
        <w:rPr/>
      </w:pPr>
      <w:r>
        <w:rPr/>
        <w:t>Recommended approach:</w:t>
      </w:r>
    </w:p>
    <w:p>
      <w:pPr>
        <w:pStyle w:val="Normal"/>
        <w:numPr>
          <w:ilvl w:val="2"/>
          <w:numId w:val="1"/>
        </w:numPr>
        <w:rPr/>
      </w:pPr>
      <w:r>
        <w:rPr/>
        <w:t>Dynegy representative to contact OPUC Chairman and Commissioners with above message by end of November.</w:t>
      </w:r>
    </w:p>
    <w:p>
      <w:pPr>
        <w:pStyle w:val="Normal"/>
        <w:numPr>
          <w:ilvl w:val="2"/>
          <w:numId w:val="1"/>
        </w:numPr>
        <w:rPr/>
      </w:pPr>
      <w:r>
        <w:rPr/>
        <w:t>Dynegy files application in Oregon by mid-January.</w:t>
      </w:r>
    </w:p>
    <w:p>
      <w:pPr>
        <w:pStyle w:val="Normal"/>
        <w:numPr>
          <w:ilvl w:val="2"/>
          <w:numId w:val="1"/>
        </w:numPr>
        <w:rPr/>
      </w:pPr>
      <w:r>
        <w:rPr/>
        <w:t>Application meets statutory requirements</w:t>
      </w:r>
    </w:p>
    <w:p>
      <w:pPr>
        <w:pStyle w:val="Normal"/>
        <w:numPr>
          <w:ilvl w:val="3"/>
          <w:numId w:val="1"/>
        </w:numPr>
        <w:rPr/>
      </w:pPr>
      <w:r>
        <w:rPr/>
        <w:t>Dynegy will step into Enron’s shoes</w:t>
      </w:r>
    </w:p>
    <w:p>
      <w:pPr>
        <w:pStyle w:val="Normal"/>
        <w:numPr>
          <w:ilvl w:val="3"/>
          <w:numId w:val="1"/>
        </w:numPr>
        <w:rPr/>
      </w:pPr>
      <w:r>
        <w:rPr/>
        <w:t>NO rate benefits offered</w:t>
      </w:r>
    </w:p>
    <w:p>
      <w:pPr>
        <w:pStyle w:val="Normal"/>
        <w:numPr>
          <w:ilvl w:val="3"/>
          <w:numId w:val="1"/>
        </w:numPr>
        <w:rPr/>
      </w:pPr>
      <w:r>
        <w:rPr/>
        <w:t>Only benefit offered is relative financial stability of Dynegy</w:t>
      </w:r>
    </w:p>
    <w:p>
      <w:pPr>
        <w:pStyle w:val="Normal"/>
        <w:numPr>
          <w:ilvl w:val="3"/>
          <w:numId w:val="1"/>
        </w:numPr>
        <w:rPr/>
      </w:pPr>
      <w:r>
        <w:rPr/>
        <w:t>Application states commitment to sell PGE within time certain—even if NWN/PGE transaction fails</w:t>
      </w:r>
    </w:p>
    <w:p>
      <w:pPr>
        <w:pStyle w:val="Normal"/>
        <w:numPr>
          <w:ilvl w:val="3"/>
          <w:numId w:val="1"/>
        </w:numPr>
        <w:rPr/>
      </w:pPr>
      <w:r>
        <w:rPr/>
        <w:t xml:space="preserve">Application will </w:t>
      </w:r>
    </w:p>
    <w:p>
      <w:pPr>
        <w:pStyle w:val="Normal"/>
        <w:numPr>
          <w:ilvl w:val="4"/>
          <w:numId w:val="1"/>
        </w:numPr>
        <w:rPr/>
      </w:pPr>
      <w:r>
        <w:rPr/>
        <w:t xml:space="preserve">propose firm date for Commission decision on Dynegy application, </w:t>
      </w:r>
    </w:p>
    <w:p>
      <w:pPr>
        <w:pStyle w:val="Normal"/>
        <w:numPr>
          <w:ilvl w:val="4"/>
          <w:numId w:val="1"/>
        </w:numPr>
        <w:rPr/>
      </w:pPr>
      <w:r>
        <w:rPr/>
        <w:t xml:space="preserve">express support for Commission consideration of NWN/PGE transaction, and </w:t>
      </w:r>
    </w:p>
    <w:p>
      <w:pPr>
        <w:pStyle w:val="Normal"/>
        <w:numPr>
          <w:ilvl w:val="4"/>
          <w:numId w:val="1"/>
        </w:numPr>
        <w:rPr/>
      </w:pPr>
      <w:r>
        <w:rPr/>
        <w:t>ask Commission for guidance on how to meet the Dynegy decision date—given pending NWN/PGE application.</w:t>
      </w:r>
    </w:p>
    <w:p>
      <w:pPr>
        <w:pStyle w:val="Normal"/>
        <w:numPr>
          <w:ilvl w:val="2"/>
          <w:numId w:val="1"/>
        </w:numPr>
        <w:rPr/>
      </w:pPr>
      <w:r>
        <w:rPr/>
        <w:t>Dynegy will avoid customer groups to limit potential for “hostage taking”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2001-11-19T22:20:00Z</dcterms:created>
  <dc:creator>pkaufma</dc:creator>
  <dc:description/>
  <dc:language>en-CA</dc:language>
  <cp:lastModifiedBy>pkaufma</cp:lastModifiedBy>
  <dcterms:modified xsi:type="dcterms:W3CDTF">2001-11-19T23:17:00Z</dcterms:modified>
  <cp:revision>1</cp:revision>
  <dc:subject/>
  <dc:title>Overall Recommendations for Synchronizing</dc:title>
</cp:coreProperties>
</file>