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firstLine="720" w:end="0"/>
        <w:rPr/>
      </w:pPr>
      <w:r>
        <w:rPr/>
        <w:t>UNITED STATES OF AMERICA</w:t>
      </w:r>
    </w:p>
    <w:p>
      <w:pPr>
        <w:pStyle w:val="Normal"/>
        <w:jc w:val="center"/>
        <w:rPr>
          <w:b/>
          <w:sz w:val="24"/>
        </w:rPr>
      </w:pPr>
      <w:r>
        <w:rPr>
          <w:b/>
          <w:sz w:val="24"/>
        </w:rPr>
        <w:t xml:space="preserve">BEFORE THE </w:t>
      </w:r>
    </w:p>
    <w:p>
      <w:pPr>
        <w:pStyle w:val="Normal"/>
        <w:jc w:val="center"/>
        <w:rPr>
          <w:b/>
          <w:sz w:val="24"/>
        </w:rPr>
      </w:pPr>
      <w:r>
        <w:rPr>
          <w:b/>
          <w:sz w:val="24"/>
        </w:rPr>
        <w:t>FEDERAL ENERGY REGULATORY COMMISSION</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both"/>
        <w:rPr>
          <w:sz w:val="24"/>
        </w:rPr>
      </w:pPr>
      <w:r>
        <w:rPr>
          <w:sz w:val="24"/>
        </w:rPr>
        <w:t>Standards for Business Practices</w:t>
        <w:tab/>
        <w:tab/>
        <w:tab/>
        <w:t>)</w:t>
        <w:tab/>
      </w:r>
    </w:p>
    <w:p>
      <w:pPr>
        <w:pStyle w:val="Normal"/>
        <w:jc w:val="both"/>
        <w:rPr>
          <w:sz w:val="24"/>
        </w:rPr>
      </w:pPr>
      <w:r>
        <w:rPr>
          <w:sz w:val="24"/>
        </w:rPr>
        <w:t xml:space="preserve">Of Interstate Natural Gas Pipelines                       </w:t>
        <w:tab/>
        <w:t>)</w:t>
        <w:tab/>
        <w:t>Docket No. RM96-1-019</w:t>
      </w:r>
    </w:p>
    <w:p>
      <w:pPr>
        <w:pStyle w:val="Normal"/>
        <w:rPr>
          <w:b/>
          <w:sz w:val="24"/>
        </w:rPr>
      </w:pPr>
      <w:r>
        <w:rPr>
          <w:b/>
          <w:sz w:val="24"/>
        </w:rPr>
      </w:r>
    </w:p>
    <w:p>
      <w:pPr>
        <w:pStyle w:val="Normal"/>
        <w:rPr>
          <w:b/>
          <w:sz w:val="24"/>
        </w:rPr>
      </w:pPr>
      <w:r>
        <w:rPr>
          <w:b/>
          <w:sz w:val="24"/>
        </w:rPr>
      </w:r>
    </w:p>
    <w:p>
      <w:pPr>
        <w:pStyle w:val="Normal"/>
        <w:ind w:start="4320" w:end="0"/>
        <w:rPr>
          <w:b/>
          <w:sz w:val="24"/>
        </w:rPr>
      </w:pPr>
      <w:r>
        <w:rPr>
          <w:b/>
          <w:sz w:val="24"/>
        </w:rPr>
      </w:r>
    </w:p>
    <w:p>
      <w:pPr>
        <w:pStyle w:val="Normal"/>
        <w:jc w:val="center"/>
        <w:rPr>
          <w:b/>
          <w:sz w:val="24"/>
        </w:rPr>
      </w:pPr>
      <w:r>
        <w:rPr>
          <w:b/>
          <w:sz w:val="24"/>
        </w:rPr>
        <w:t>COMMENTS</w:t>
      </w:r>
    </w:p>
    <w:p>
      <w:pPr>
        <w:pStyle w:val="Normal"/>
        <w:jc w:val="center"/>
        <w:rPr>
          <w:b/>
          <w:sz w:val="24"/>
          <w:u w:val="single"/>
        </w:rPr>
      </w:pPr>
      <w:r>
        <w:rPr>
          <w:b/>
          <w:sz w:val="24"/>
          <w:u w:val="single"/>
        </w:rPr>
        <w:t>OF ENRON INTERSTATE PIPELINES</w:t>
      </w:r>
    </w:p>
    <w:p>
      <w:pPr>
        <w:pStyle w:val="Normal"/>
        <w:jc w:val="center"/>
        <w:rPr>
          <w:b/>
          <w:sz w:val="24"/>
          <w:u w:val="single"/>
        </w:rPr>
      </w:pPr>
      <w:r>
        <w:rPr>
          <w:b/>
          <w:sz w:val="24"/>
          <w:u w:val="single"/>
        </w:rPr>
      </w:r>
    </w:p>
    <w:p>
      <w:pPr>
        <w:pStyle w:val="BodyTextStyle"/>
        <w:jc w:val="start"/>
        <w:rPr/>
      </w:pPr>
      <w:r>
        <w:rPr>
          <w:rFonts w:cs="Times New Roman" w:ascii="Times New Roman" w:hAnsi="Times New Roman"/>
        </w:rPr>
        <w:t>Pursuant to the Notice of Proposed Rulemaking (NOPR) issued by the Federal Energy Regulatory Commission (FERC or Commission) in the above-captioned docket, the Enron Interstate Pipelines</w:t>
      </w:r>
      <w:r>
        <w:rPr>
          <w:rStyle w:val="FootnoteCharacters"/>
          <w:rStyle w:val="FootnoteReference"/>
          <w:rFonts w:cs="Times New Roman" w:ascii="Times New Roman" w:hAnsi="Times New Roman"/>
        </w:rPr>
        <w:footnoteReference w:id="2"/>
      </w:r>
      <w:r>
        <w:rPr>
          <w:rFonts w:cs="Times New Roman" w:ascii="Times New Roman" w:hAnsi="Times New Roman"/>
        </w:rPr>
        <w:t xml:space="preserve"> (EIP) submits its comments on whether the Commission should require interstate pipelines to permit releasing shippers to recall released capacity and renominate that recalled capacity during the gas day</w:t>
      </w:r>
      <w:r>
        <w:rPr>
          <w:rStyle w:val="FootnoteCharacters"/>
          <w:rStyle w:val="FootnoteReference"/>
          <w:rFonts w:cs="Times New Roman" w:ascii="Times New Roman" w:hAnsi="Times New Roman"/>
        </w:rPr>
        <w:footnoteReference w:id="3"/>
      </w:r>
      <w:r>
        <w:rPr>
          <w:rFonts w:cs="Times New Roman" w:ascii="Times New Roman" w:hAnsi="Times New Roman"/>
        </w:rPr>
        <w:t>.  EIP has grave concerns with the Commission’s imposition of partial day recall on pipelines and the industry because the NOPR does not address, let alone resolve, the issues involved in allowing multiple parties to have rights to the same capacity during the same gas day.  Nevertheless, should the Commission move forward with some version of this proposal, there are numerous clarifications that must be considered and vetted in a technical conference before adoption, and these changes should be referred back to GISB to establish consistent business standards and protocols before implementation.</w:t>
      </w:r>
      <w:r>
        <w:br w:type="page"/>
      </w:r>
    </w:p>
    <w:p>
      <w:pPr>
        <w:pStyle w:val="BodyTextStyle"/>
        <w:jc w:val="center"/>
        <w:rPr>
          <w:rFonts w:ascii="Times New Roman" w:hAnsi="Times New Roman" w:cs="Times New Roman"/>
          <w:b/>
        </w:rPr>
      </w:pPr>
      <w:r>
        <w:rPr>
          <w:rFonts w:cs="Times New Roman" w:ascii="Times New Roman" w:hAnsi="Times New Roman"/>
          <w:b/>
        </w:rPr>
        <w:t>I.</w:t>
      </w:r>
    </w:p>
    <w:p>
      <w:pPr>
        <w:pStyle w:val="BodyTextStyle"/>
        <w:jc w:val="center"/>
        <w:rPr>
          <w:rFonts w:ascii="Times New Roman" w:hAnsi="Times New Roman" w:cs="Times New Roman"/>
          <w:b/>
        </w:rPr>
      </w:pPr>
      <w:r>
        <w:rPr>
          <w:rFonts w:cs="Times New Roman" w:ascii="Times New Roman" w:hAnsi="Times New Roman"/>
          <w:b/>
        </w:rPr>
        <w:t>CORRESPONDENCE</w:t>
      </w:r>
    </w:p>
    <w:p>
      <w:pPr>
        <w:pStyle w:val="WW-BodyText2"/>
        <w:ind w:firstLine="1440" w:end="0"/>
        <w:rPr>
          <w:b/>
        </w:rPr>
      </w:pPr>
      <w:r>
        <w:rPr/>
        <w:t>All correspondence and communications with regard to this filing should be directed to:</w:t>
      </w:r>
    </w:p>
    <w:p>
      <w:pPr>
        <w:pStyle w:val="Heading9"/>
        <w:rPr/>
      </w:pPr>
      <w:r>
        <w:rPr/>
        <w:t>Nancy E. Bagot</w:t>
      </w:r>
    </w:p>
    <w:p>
      <w:pPr>
        <w:pStyle w:val="Normal"/>
        <w:spacing w:lineRule="exact" w:line="240"/>
        <w:ind w:start="3150" w:end="0"/>
        <w:rPr>
          <w:sz w:val="24"/>
        </w:rPr>
      </w:pPr>
      <w:r>
        <w:rPr>
          <w:sz w:val="24"/>
        </w:rPr>
        <w:t xml:space="preserve">Manager, Government Affairs </w:t>
      </w:r>
    </w:p>
    <w:p>
      <w:pPr>
        <w:pStyle w:val="Normal"/>
        <w:spacing w:lineRule="exact" w:line="240"/>
        <w:ind w:start="3150" w:end="0"/>
        <w:rPr>
          <w:sz w:val="24"/>
        </w:rPr>
      </w:pPr>
      <w:r>
        <w:rPr>
          <w:sz w:val="24"/>
        </w:rPr>
        <w:t>Enron Transportation Services Company</w:t>
      </w:r>
    </w:p>
    <w:p>
      <w:pPr>
        <w:pStyle w:val="Normal"/>
        <w:spacing w:lineRule="exact" w:line="240"/>
        <w:ind w:start="3150" w:end="0"/>
        <w:rPr>
          <w:sz w:val="24"/>
        </w:rPr>
      </w:pPr>
      <w:r>
        <w:rPr>
          <w:sz w:val="24"/>
        </w:rPr>
        <w:t xml:space="preserve">1775 Eye Street, NW  </w:t>
      </w:r>
    </w:p>
    <w:p>
      <w:pPr>
        <w:pStyle w:val="Normal"/>
        <w:spacing w:lineRule="exact" w:line="240"/>
        <w:ind w:start="3150" w:end="0"/>
        <w:rPr>
          <w:sz w:val="24"/>
        </w:rPr>
      </w:pPr>
      <w:r>
        <w:rPr>
          <w:sz w:val="24"/>
        </w:rPr>
        <w:t>Suite 800</w:t>
      </w:r>
    </w:p>
    <w:p>
      <w:pPr>
        <w:pStyle w:val="Normal"/>
        <w:spacing w:lineRule="exact" w:line="240"/>
        <w:ind w:start="3150" w:end="0"/>
        <w:rPr>
          <w:sz w:val="24"/>
        </w:rPr>
      </w:pPr>
      <w:r>
        <w:rPr>
          <w:sz w:val="24"/>
        </w:rPr>
        <w:t>Washington, DC  20006</w:t>
      </w:r>
    </w:p>
    <w:p>
      <w:pPr>
        <w:pStyle w:val="Normal"/>
        <w:spacing w:lineRule="exact" w:line="240"/>
        <w:ind w:start="3150" w:end="0"/>
        <w:rPr>
          <w:sz w:val="24"/>
        </w:rPr>
      </w:pPr>
      <w:r>
        <w:rPr>
          <w:sz w:val="24"/>
        </w:rPr>
        <w:t>Phone:  202-466-9162</w:t>
      </w:r>
    </w:p>
    <w:p>
      <w:pPr>
        <w:pStyle w:val="Normal"/>
        <w:spacing w:lineRule="exact" w:line="240"/>
        <w:ind w:start="3150" w:end="0"/>
        <w:rPr/>
      </w:pPr>
      <w:r>
        <w:rPr>
          <w:sz w:val="24"/>
        </w:rPr>
        <w:t xml:space="preserve">Email:  </w:t>
      </w:r>
      <w:r>
        <w:rPr>
          <w:rStyle w:val="Hyperlink"/>
          <w:sz w:val="24"/>
        </w:rPr>
        <w:t>nancy.bagot@enron.com</w:t>
      </w:r>
    </w:p>
    <w:p>
      <w:pPr>
        <w:pStyle w:val="Normal"/>
        <w:spacing w:lineRule="exact" w:line="240"/>
        <w:ind w:start="3150" w:end="0"/>
        <w:rPr>
          <w:rStyle w:val="Hyperlink"/>
          <w:sz w:val="24"/>
        </w:rPr>
      </w:pPr>
      <w:r>
        <w:rPr/>
      </w:r>
    </w:p>
    <w:p>
      <w:pPr>
        <w:pStyle w:val="Normal"/>
        <w:spacing w:lineRule="exact" w:line="240"/>
        <w:ind w:start="3150" w:end="0"/>
        <w:rPr>
          <w:sz w:val="24"/>
        </w:rPr>
      </w:pPr>
      <w:r>
        <w:rPr>
          <w:sz w:val="24"/>
        </w:rPr>
      </w:r>
    </w:p>
    <w:p>
      <w:pPr>
        <w:pStyle w:val="Normal"/>
        <w:spacing w:lineRule="exact" w:line="240"/>
        <w:ind w:start="3150" w:end="0"/>
        <w:rPr>
          <w:sz w:val="24"/>
        </w:rPr>
      </w:pPr>
      <w:r>
        <w:rPr>
          <w:sz w:val="24"/>
        </w:rPr>
        <w:t>Theresa L. Hess</w:t>
      </w:r>
    </w:p>
    <w:p>
      <w:pPr>
        <w:pStyle w:val="Normal"/>
        <w:spacing w:lineRule="exact" w:line="240"/>
        <w:ind w:start="3150" w:end="0"/>
        <w:rPr>
          <w:sz w:val="24"/>
        </w:rPr>
      </w:pPr>
      <w:r>
        <w:rPr>
          <w:sz w:val="24"/>
        </w:rPr>
        <w:t>Manager, GISB Business Standards &amp; Development</w:t>
      </w:r>
    </w:p>
    <w:p>
      <w:pPr>
        <w:pStyle w:val="Normal"/>
        <w:spacing w:lineRule="exact" w:line="240"/>
        <w:ind w:start="3150" w:end="0"/>
        <w:rPr>
          <w:sz w:val="24"/>
        </w:rPr>
      </w:pPr>
      <w:r>
        <w:rPr>
          <w:sz w:val="24"/>
        </w:rPr>
        <w:t>Enron Transportation Services Company</w:t>
      </w:r>
    </w:p>
    <w:p>
      <w:pPr>
        <w:pStyle w:val="Normal"/>
        <w:spacing w:lineRule="exact" w:line="240"/>
        <w:ind w:start="3150" w:end="0"/>
        <w:rPr>
          <w:sz w:val="24"/>
        </w:rPr>
      </w:pPr>
      <w:r>
        <w:rPr>
          <w:sz w:val="24"/>
        </w:rPr>
        <w:t>1400 Smith Street, P.O. Box 1188</w:t>
      </w:r>
    </w:p>
    <w:p>
      <w:pPr>
        <w:pStyle w:val="Normal"/>
        <w:spacing w:lineRule="exact" w:line="240"/>
        <w:ind w:start="3150" w:end="0"/>
        <w:rPr>
          <w:sz w:val="24"/>
        </w:rPr>
      </w:pPr>
      <w:r>
        <w:rPr>
          <w:sz w:val="24"/>
        </w:rPr>
        <w:t>Houston, TX  77251-1188</w:t>
      </w:r>
    </w:p>
    <w:p>
      <w:pPr>
        <w:pStyle w:val="Normal"/>
        <w:spacing w:lineRule="exact" w:line="240"/>
        <w:ind w:start="3150" w:end="0"/>
        <w:rPr>
          <w:sz w:val="24"/>
        </w:rPr>
      </w:pPr>
      <w:r>
        <w:rPr>
          <w:sz w:val="24"/>
        </w:rPr>
        <w:t>Phone:  713-853-4895</w:t>
      </w:r>
    </w:p>
    <w:p>
      <w:pPr>
        <w:pStyle w:val="Normal"/>
        <w:spacing w:lineRule="exact" w:line="240"/>
        <w:ind w:start="3150" w:end="0"/>
        <w:rPr>
          <w:sz w:val="24"/>
        </w:rPr>
      </w:pPr>
      <w:r>
        <w:rPr>
          <w:sz w:val="24"/>
        </w:rPr>
        <w:t>Email:  theresa.hess@enron.com</w:t>
      </w:r>
    </w:p>
    <w:p>
      <w:pPr>
        <w:pStyle w:val="Normal"/>
        <w:spacing w:lineRule="exact" w:line="240"/>
        <w:ind w:start="3150" w:end="0"/>
        <w:rPr>
          <w:sz w:val="24"/>
        </w:rPr>
      </w:pPr>
      <w:r>
        <w:rPr>
          <w:sz w:val="24"/>
        </w:rPr>
      </w:r>
    </w:p>
    <w:p>
      <w:pPr>
        <w:pStyle w:val="Normal"/>
        <w:spacing w:lineRule="exact" w:line="240"/>
        <w:ind w:start="3150" w:end="0"/>
        <w:rPr>
          <w:sz w:val="24"/>
        </w:rPr>
      </w:pPr>
      <w:r>
        <w:rPr>
          <w:sz w:val="24"/>
        </w:rPr>
      </w:r>
    </w:p>
    <w:p>
      <w:pPr>
        <w:pStyle w:val="Normal"/>
        <w:rPr>
          <w:b/>
          <w:sz w:val="24"/>
        </w:rPr>
      </w:pPr>
      <w:r>
        <w:rPr>
          <w:b/>
          <w:sz w:val="24"/>
        </w:rPr>
      </w:r>
    </w:p>
    <w:p>
      <w:pPr>
        <w:pStyle w:val="Normal"/>
        <w:spacing w:lineRule="auto" w:line="480"/>
        <w:jc w:val="center"/>
        <w:rPr>
          <w:b/>
          <w:sz w:val="24"/>
        </w:rPr>
      </w:pPr>
      <w:r>
        <w:rPr>
          <w:b/>
          <w:sz w:val="24"/>
        </w:rPr>
        <w:t>II.</w:t>
      </w:r>
    </w:p>
    <w:p>
      <w:pPr>
        <w:pStyle w:val="BodyText2"/>
        <w:spacing w:lineRule="auto" w:line="240"/>
        <w:jc w:val="center"/>
        <w:rPr>
          <w:b/>
        </w:rPr>
      </w:pPr>
      <w:r>
        <w:rPr>
          <w:b/>
        </w:rPr>
        <w:t>SUMMARY</w:t>
      </w:r>
    </w:p>
    <w:p>
      <w:pPr>
        <w:pStyle w:val="BodyText2"/>
        <w:spacing w:lineRule="auto" w:line="240"/>
        <w:jc w:val="center"/>
        <w:rPr>
          <w:b/>
          <w:u w:val="single"/>
        </w:rPr>
      </w:pPr>
      <w:r>
        <w:rPr>
          <w:b/>
          <w:u w:val="single"/>
        </w:rPr>
      </w:r>
    </w:p>
    <w:p>
      <w:pPr>
        <w:pStyle w:val="BodyText2"/>
        <w:spacing w:lineRule="auto" w:line="240"/>
        <w:jc w:val="center"/>
        <w:rPr>
          <w:b/>
          <w:u w:val="single"/>
        </w:rPr>
      </w:pPr>
      <w:r>
        <w:rPr>
          <w:b/>
          <w:u w:val="single"/>
        </w:rPr>
      </w:r>
    </w:p>
    <w:p>
      <w:pPr>
        <w:pStyle w:val="BodyText2"/>
        <w:ind w:firstLine="720" w:end="0"/>
        <w:rPr/>
      </w:pPr>
      <w:r>
        <w:rPr/>
        <w:t xml:space="preserve">On October 12, 2001, in Docket No. RM96-1-019, the Commission issued a NOPR to amend § 284.12(c)(1)(ii) of its regulations governing standards for interstate pipeline business practices.  The revisions purportedly are designed to synchronize the Commission’s regulation of recalled capacity with its standards for intraday nominations in order to provide releasing shippers with increased flexibility in structuring capacity release transactions.  The NOPR proposes “to require pipelines to permit shippers to recall released capacity and renominate such recalled capacity at each nomination opportunity provided by the pipeline according to the notice and bumping provisions applicable to interruptible shippers.” </w:t>
      </w:r>
      <w:r>
        <w:rPr>
          <w:rStyle w:val="FootnoteCharacters"/>
          <w:rStyle w:val="FootnoteReference"/>
        </w:rPr>
        <w:footnoteReference w:id="4"/>
      </w:r>
      <w:r>
        <w:rPr/>
        <w:t xml:space="preserve">  The stated reason for the change is to allow capacity release to compete with pipeline capacity.  As a threshold matter, the Commission’s proposal purports to create parity between shippers’ capacity and pipeline capacity, when in fact it provides recalled capacity with flow rights that exceed those that most pipelines are able to offer firm shippers.</w:t>
      </w:r>
    </w:p>
    <w:p>
      <w:pPr>
        <w:pStyle w:val="BodyText2"/>
        <w:ind w:firstLine="720" w:end="0"/>
        <w:rPr/>
      </w:pPr>
      <w:r>
        <w:rPr/>
        <w:t xml:space="preserve">Second, there is a fundamental tension between the Commission’s treatment of capacity release in this NOPR as an interruptible service, and the firm rights of capacity release set forth in Order No. 637.  These conflicting concepts must be resolved. </w:t>
      </w:r>
    </w:p>
    <w:p>
      <w:pPr>
        <w:pStyle w:val="BodyText2"/>
        <w:ind w:firstLine="720" w:end="0"/>
        <w:rPr/>
      </w:pPr>
      <w:r>
        <w:rPr/>
        <w:t>Third, the Commission must address the practical aspects of how partial day recalls will affect the reliability of transactions across the natural gas grid.  Unless steps are taken to isolate partial day recallable releases from other transactions, a single partial day recallable release could have a ripple effect on transactions upstream and downstream of the recalled transaction.</w:t>
      </w:r>
    </w:p>
    <w:p>
      <w:pPr>
        <w:pStyle w:val="BodyText2"/>
        <w:ind w:firstLine="720" w:end="0"/>
        <w:rPr/>
      </w:pPr>
      <w:r>
        <w:rPr/>
        <w:t>Finally, the Commission must modify the NOPR to ensure that recalled transactions do not degrade pipeline service to other firm shippers.  The Commission must clarify that upon notification, recalled shippers are expected to comply with pipeline scheduling and immediately adjust receipts and deliveries.  Otherwise, the pipeline could be faced with recalled shippers utilizing capacity in excess of their entitlement.  The result may be a detrimental impact to pressures, line pack and operational flexibility, which affect service to other shippers.</w:t>
      </w:r>
    </w:p>
    <w:p>
      <w:pPr>
        <w:pStyle w:val="BodyText2"/>
        <w:ind w:firstLine="720" w:end="0"/>
        <w:rPr/>
      </w:pPr>
      <w:r>
        <w:rPr/>
        <w:t>For these reasons, the Commission should not implement partial day recall as proposed in this NOPR.  Should the proposal go forward, these issues must be addressed, as well as related changes to business systems, such as operational and contractual systems (which must be addressed by GISB due to the extensive impact to numerous interstate pipeline business standards).  These operational, business, economic and reliability complexities must be fully explored in a technical conference before adoption and referred to GISB for its consideration before implementation.</w:t>
      </w:r>
    </w:p>
    <w:p>
      <w:pPr>
        <w:pStyle w:val="BodyText2"/>
        <w:spacing w:lineRule="auto" w:line="240"/>
        <w:rPr/>
      </w:pPr>
      <w:r>
        <w:rPr/>
        <w:t xml:space="preserve"> </w:t>
      </w:r>
    </w:p>
    <w:p>
      <w:pPr>
        <w:pStyle w:val="BodyText2"/>
        <w:jc w:val="center"/>
        <w:rPr>
          <w:b/>
        </w:rPr>
      </w:pPr>
      <w:r>
        <w:rPr>
          <w:b/>
        </w:rPr>
        <w:t>III.</w:t>
      </w:r>
    </w:p>
    <w:p>
      <w:pPr>
        <w:pStyle w:val="BodyText2"/>
        <w:jc w:val="center"/>
        <w:rPr>
          <w:b/>
          <w:i/>
          <w:i/>
        </w:rPr>
      </w:pPr>
      <w:r>
        <w:rPr>
          <w:b/>
        </w:rPr>
        <w:t>COMMENTS</w:t>
      </w:r>
    </w:p>
    <w:p>
      <w:pPr>
        <w:pStyle w:val="BodyText2"/>
        <w:spacing w:lineRule="auto" w:line="240"/>
        <w:jc w:val="center"/>
        <w:rPr>
          <w:b/>
          <w:i/>
          <w:i/>
        </w:rPr>
      </w:pPr>
      <w:r>
        <w:rPr>
          <w:b/>
          <w:i/>
        </w:rPr>
      </w:r>
    </w:p>
    <w:p>
      <w:pPr>
        <w:pStyle w:val="BodyText2"/>
        <w:numPr>
          <w:ilvl w:val="0"/>
          <w:numId w:val="2"/>
        </w:numPr>
        <w:tabs>
          <w:tab w:val="left" w:pos="720" w:leader="none"/>
        </w:tabs>
        <w:spacing w:lineRule="auto" w:line="240"/>
        <w:rPr>
          <w:b/>
        </w:rPr>
      </w:pPr>
      <w:r>
        <w:rPr>
          <w:b/>
        </w:rPr>
        <w:t>The Commission’s proposal for partial day recall is not necessary to ensure comparability with pipeline services.</w:t>
      </w:r>
    </w:p>
    <w:p>
      <w:pPr>
        <w:pStyle w:val="BodyText2"/>
        <w:tabs>
          <w:tab w:val="left" w:pos="720" w:leader="none"/>
        </w:tabs>
        <w:rPr>
          <w:b/>
        </w:rPr>
      </w:pPr>
      <w:r>
        <w:rPr>
          <w:b/>
        </w:rPr>
      </w:r>
    </w:p>
    <w:p>
      <w:pPr>
        <w:pStyle w:val="BodyText2"/>
        <w:numPr>
          <w:ilvl w:val="0"/>
          <w:numId w:val="0"/>
        </w:numPr>
        <w:ind w:firstLine="720" w:start="0" w:end="0"/>
        <w:rPr/>
      </w:pPr>
      <w:r>
        <w:rPr/>
        <w:t xml:space="preserve">Pipeline services, whether FT or IT, are currently denoted in full gas day contract quantities.  In a comparable manner, capacity release must currently be recalled in full gas day increments.  In contrast, </w:t>
      </w:r>
      <w:r>
        <w:rPr>
          <w:bCs/>
        </w:rPr>
        <w:t>t</w:t>
      </w:r>
      <w:r>
        <w:rPr/>
        <w:t xml:space="preserve">he NOPR defines a partial day recall as “a recall condition that applies only to part of gas day, rather than the full gas day.” </w:t>
      </w:r>
      <w:r>
        <w:rPr>
          <w:rStyle w:val="FootnoteCharacters"/>
          <w:rStyle w:val="FootnoteReference"/>
        </w:rPr>
        <w:footnoteReference w:id="5"/>
      </w:r>
      <w:r>
        <w:rPr/>
        <w:t xml:space="preserve">  This move from daily increments of service to partial day increments of service represents a fundamental change to tariffs, customer service offerings and system operations.  As stated in the NOPR, the goal of the Commission is to permit capacity release to compete with pipeline capacity on a comparable basis – in this instance, the capacity holder will be able to offer a service not available from the pipeline or allowable in the pipeline’s tariff.</w:t>
      </w:r>
      <w:r>
        <w:rPr>
          <w:rStyle w:val="FootnoteCharacters"/>
          <w:rStyle w:val="FootnoteReference"/>
        </w:rPr>
        <w:footnoteReference w:id="6"/>
      </w:r>
    </w:p>
    <w:p>
      <w:pPr>
        <w:pStyle w:val="BodyText2"/>
        <w:numPr>
          <w:ilvl w:val="0"/>
          <w:numId w:val="0"/>
        </w:numPr>
        <w:ind w:firstLine="720" w:start="0" w:end="0"/>
        <w:rPr/>
      </w:pPr>
      <w:r>
        <w:rPr/>
        <w:t>Partial day recall is not necessary to create parity with pipeline services which are currently denoted in full gas day service increments.  If the Commission chooses to move forward with the proposed procedures for partial day recalls, then the Commission should clarify that, in order to maintain parity between shipper and pipeline capacity, pipelines should be able to sell their capacity for terms less than a full gas day as well.</w:t>
      </w:r>
    </w:p>
    <w:p>
      <w:pPr>
        <w:pStyle w:val="BodyText2"/>
        <w:numPr>
          <w:ilvl w:val="0"/>
          <w:numId w:val="0"/>
        </w:numPr>
        <w:ind w:firstLine="360" w:start="0" w:end="0"/>
        <w:rPr/>
      </w:pPr>
      <w:r>
        <w:rPr/>
      </w:r>
    </w:p>
    <w:p>
      <w:pPr>
        <w:pStyle w:val="BodyText2"/>
        <w:numPr>
          <w:ilvl w:val="0"/>
          <w:numId w:val="2"/>
        </w:numPr>
        <w:tabs>
          <w:tab w:val="left" w:pos="720" w:leader="none"/>
        </w:tabs>
        <w:spacing w:lineRule="auto" w:line="240"/>
        <w:rPr/>
      </w:pPr>
      <w:r>
        <w:rPr>
          <w:b/>
        </w:rPr>
        <w:t xml:space="preserve">The Commission must distinguish between the rights of partial day recallable capacity release and other capacity release shippers. </w:t>
      </w:r>
    </w:p>
    <w:p>
      <w:pPr>
        <w:pStyle w:val="BodyText2"/>
        <w:numPr>
          <w:ilvl w:val="0"/>
          <w:numId w:val="0"/>
        </w:numPr>
        <w:ind w:hanging="0" w:start="720" w:end="0"/>
        <w:rPr/>
      </w:pPr>
      <w:r>
        <w:rPr/>
      </w:r>
    </w:p>
    <w:p>
      <w:pPr>
        <w:pStyle w:val="BodyText2"/>
        <w:numPr>
          <w:ilvl w:val="0"/>
          <w:numId w:val="0"/>
        </w:numPr>
        <w:ind w:firstLine="720" w:start="0" w:end="0"/>
        <w:rPr>
          <w:b/>
          <w:bCs/>
        </w:rPr>
      </w:pPr>
      <w:r>
        <w:rPr/>
        <w:t xml:space="preserve">In recent orders, the Commission has stated that releasing shippers should have the same rights as other firm shippers.  In this NOPR, the Commission strives to ensure that a recalling shipper can “bump” the acquiring shipper following a notice protocol that is akin to interruptible.  The Commission needs to clarify that partial day recall constitutes a service that is interruptible in nature and must be treated as such.  The recalled capacity cannot have the characteristics of both firm and interruptible service.  The Commission should modify the NOPR to clarify that partial day recall has rights that are different from </w:t>
      </w:r>
      <w:r>
        <w:rPr>
          <w:i/>
          <w:iCs/>
        </w:rPr>
        <w:t>firm</w:t>
      </w:r>
      <w:r>
        <w:rPr/>
        <w:t xml:space="preserve"> capacity holders.  Parties must understand what type of service they are buying.  </w:t>
      </w:r>
      <w:r>
        <w:rPr>
          <w:szCs w:val="24"/>
        </w:rPr>
        <w:t>For example, when a releasing shipper recalls capacity in the middle of the day, that shipper should not be able to move to other receipt or delivery points.</w:t>
      </w:r>
      <w:r>
        <w:rPr>
          <w:color w:val="FF0000"/>
          <w:szCs w:val="24"/>
        </w:rPr>
        <w:t xml:space="preserve"> </w:t>
      </w:r>
      <w:r>
        <w:rPr>
          <w:szCs w:val="24"/>
        </w:rPr>
        <w:t xml:space="preserve">Otherwise, there could be a conflict with another shipper that subscribed for the receipt or delivery points for that day.  </w:t>
      </w:r>
      <w:r>
        <w:rPr>
          <w:i/>
          <w:iCs/>
          <w:szCs w:val="24"/>
        </w:rPr>
        <w:t xml:space="preserve">The Commission should clarify that partial day recallable capacity release has a character of service that is equivalent to interruptible service and as such has the rights of interruptible capacity holders. </w:t>
      </w:r>
    </w:p>
    <w:p>
      <w:pPr>
        <w:pStyle w:val="BodyText2"/>
        <w:numPr>
          <w:ilvl w:val="0"/>
          <w:numId w:val="0"/>
        </w:numPr>
        <w:spacing w:lineRule="auto" w:line="240"/>
        <w:ind w:hanging="0" w:start="0"/>
        <w:rPr>
          <w:b/>
          <w:bCs/>
        </w:rPr>
      </w:pPr>
      <w:r>
        <w:rPr>
          <w:b/>
          <w:bCs/>
        </w:rPr>
      </w:r>
    </w:p>
    <w:p>
      <w:pPr>
        <w:pStyle w:val="BodyText2"/>
        <w:numPr>
          <w:ilvl w:val="0"/>
          <w:numId w:val="2"/>
        </w:numPr>
        <w:tabs>
          <w:tab w:val="left" w:pos="720" w:leader="none"/>
        </w:tabs>
        <w:spacing w:lineRule="auto" w:line="240"/>
        <w:rPr>
          <w:b/>
        </w:rPr>
      </w:pPr>
      <w:r>
        <w:rPr>
          <w:b/>
        </w:rPr>
        <w:t>The Commission must modify the NOPR to ensure that recalled transactions do not degrade service to other firm shippers.</w:t>
      </w:r>
    </w:p>
    <w:p>
      <w:pPr>
        <w:pStyle w:val="BodyText2"/>
        <w:rPr>
          <w:b/>
        </w:rPr>
      </w:pPr>
      <w:r>
        <w:rPr>
          <w:b/>
        </w:rPr>
      </w:r>
    </w:p>
    <w:p>
      <w:pPr>
        <w:pStyle w:val="BodyTextIndent3"/>
        <w:rPr/>
      </w:pPr>
      <w:r>
        <w:rPr/>
        <w:t>Pipelines must be allowed to limit the capacity that is recalled based on the quantity that has already flowed in the gas day.  Otherwise, a shipper could pull more gas early in the day in order to get their physical gas deliveries before the capacity is recalled.  This could result in the “overlap” of capacity utilized by a releasing shipper and a recalling shipper.  This situation could stress the pipeline system, impacting line pack and line pressures, and jeopardize service to numerous shippers on the system.</w:t>
      </w:r>
    </w:p>
    <w:p>
      <w:pPr>
        <w:pStyle w:val="Normal"/>
        <w:spacing w:lineRule="auto" w:line="480"/>
        <w:ind w:firstLine="720" w:end="0"/>
        <w:rPr>
          <w:sz w:val="24"/>
        </w:rPr>
      </w:pPr>
      <w:r>
        <w:rPr>
          <w:sz w:val="24"/>
        </w:rPr>
        <w:t>Pipelines must be allowed to limit the capacity that is recalled to the MDQ (contractual quantity) that is still available for the day.  That is, the total capacity contracted by the recalling shipper and the replacement shipper should not exceed the amount that was originally released for the gas day.  Pipelines have a specific amount of firm capacity on their systems and should not be required to increase this amount as a result of capacity recalls or be required to deplete their line pack in order to effectuate this service.</w:t>
      </w:r>
    </w:p>
    <w:p>
      <w:pPr>
        <w:pStyle w:val="BodyText2"/>
        <w:ind w:firstLine="720" w:end="0"/>
        <w:rPr>
          <w:sz w:val="24"/>
        </w:rPr>
      </w:pPr>
      <w:r>
        <w:rPr>
          <w:sz w:val="24"/>
        </w:rPr>
      </w:r>
    </w:p>
    <w:p>
      <w:pPr>
        <w:pStyle w:val="BodyText2"/>
        <w:numPr>
          <w:ilvl w:val="0"/>
          <w:numId w:val="2"/>
        </w:numPr>
        <w:spacing w:lineRule="auto" w:line="240"/>
        <w:rPr>
          <w:b/>
        </w:rPr>
      </w:pPr>
      <w:r>
        <w:rPr>
          <w:b/>
        </w:rPr>
        <w:t>Released capacity that is subject to partial day recalls must occur under separate contracts to allow for proper identification and notification of transactional parties and to limit the disruption of partial day recall on other parties across the grid.</w:t>
      </w:r>
    </w:p>
    <w:p>
      <w:pPr>
        <w:pStyle w:val="BodyText2"/>
        <w:rPr>
          <w:b/>
        </w:rPr>
      </w:pPr>
      <w:r>
        <w:rPr>
          <w:b/>
        </w:rPr>
      </w:r>
    </w:p>
    <w:p>
      <w:pPr>
        <w:pStyle w:val="BodyTextIndent"/>
        <w:jc w:val="start"/>
        <w:rPr/>
      </w:pPr>
      <w:r>
        <w:rPr/>
        <w:t>There are legitimate reasons to isolate partial day recallable capacity from other capacity release activity.  The Commission has generally encouraged parties to combine transactions into master contract arrangements.  Partial day recallable releases run counter to that trend.  If pipelines are expected to unwind these transactions during the middle of the gas day, then they should be isolated from firm contract quantities to minimize and track the number of paths and parties that could be affected by a single recall.  As an illustrative example, when the replacement shipper utilizes multiple alternate points and the recalling shipper recalls only a portion of the original released quantity, the pipeline cannot determine where to apply the reduction in the replacement shipper’s capacity (i.e., which locations are affected), absent a contractually-based tracking system.</w:t>
      </w:r>
    </w:p>
    <w:p>
      <w:pPr>
        <w:pStyle w:val="BodyText2"/>
        <w:tabs>
          <w:tab w:val="left" w:pos="720" w:leader="none"/>
        </w:tabs>
        <w:rPr/>
      </w:pPr>
      <w:r>
        <w:rPr/>
      </w:r>
    </w:p>
    <w:p>
      <w:pPr>
        <w:pStyle w:val="BodyText2"/>
        <w:numPr>
          <w:ilvl w:val="0"/>
          <w:numId w:val="2"/>
        </w:numPr>
        <w:spacing w:lineRule="auto" w:line="240"/>
        <w:rPr>
          <w:b/>
        </w:rPr>
      </w:pPr>
      <w:r>
        <w:rPr>
          <w:b/>
        </w:rPr>
        <w:t>The implementation of partial day recalls will require major operational changes to the pipeline system, as listed below:</w:t>
      </w:r>
    </w:p>
    <w:p>
      <w:pPr>
        <w:pStyle w:val="Normal"/>
        <w:spacing w:lineRule="auto" w:line="480"/>
        <w:rPr>
          <w:b/>
          <w:bCs/>
          <w:i/>
          <w:i/>
          <w:iCs/>
          <w:sz w:val="24"/>
        </w:rPr>
      </w:pPr>
      <w:r>
        <w:rPr>
          <w:b/>
          <w:bCs/>
          <w:i/>
          <w:iCs/>
          <w:sz w:val="24"/>
        </w:rPr>
      </w:r>
    </w:p>
    <w:p>
      <w:pPr>
        <w:pStyle w:val="BodyText2"/>
        <w:numPr>
          <w:ilvl w:val="0"/>
          <w:numId w:val="3"/>
        </w:numPr>
        <w:tabs>
          <w:tab w:val="clear" w:pos="720"/>
          <w:tab w:val="left" w:pos="1440" w:leader="none"/>
        </w:tabs>
        <w:ind w:hanging="540" w:start="1440" w:end="0"/>
        <w:rPr/>
      </w:pPr>
      <w:r>
        <w:rPr>
          <w:b/>
          <w:u w:val="single"/>
        </w:rPr>
        <w:t>Balancing or Penalty Provisions Must Be Applied Regardless of Recall</w:t>
      </w:r>
      <w:r>
        <w:rPr>
          <w:b/>
        </w:rPr>
        <w:t xml:space="preserve">:  </w:t>
      </w:r>
      <w:r>
        <w:rPr/>
        <w:t>A</w:t>
      </w:r>
      <w:r>
        <w:rPr>
          <w:i/>
        </w:rPr>
        <w:t>ll</w:t>
      </w:r>
      <w:r>
        <w:rPr/>
        <w:t xml:space="preserve"> parties involved in the released capacity should continue to be subject to balancing provisions (imbalance and overrun penalties).  This applies to the releasing shipper who is recalling the capacity, the replacement shipper who is having the capacity recalled from them, and any subsequent replacement shipper(s).  There can be no exception for a replacement shipper that receives notice of recall.  Following a recall, the replacement shipper must reduce receipts and deliveries or be subject to the balancing or penalty consequences of their actions.  To do less would reduce the pipeline’s ability to maintain operational control of its system.</w:t>
      </w:r>
    </w:p>
    <w:p>
      <w:pPr>
        <w:pStyle w:val="BodyText2"/>
        <w:ind w:start="907" w:end="0"/>
        <w:rPr/>
      </w:pPr>
      <w:r>
        <w:rPr/>
      </w:r>
    </w:p>
    <w:p>
      <w:pPr>
        <w:pStyle w:val="BodyText2"/>
        <w:numPr>
          <w:ilvl w:val="0"/>
          <w:numId w:val="3"/>
        </w:numPr>
        <w:tabs>
          <w:tab w:val="clear" w:pos="720"/>
          <w:tab w:val="left" w:pos="1440" w:leader="none"/>
        </w:tabs>
        <w:ind w:hanging="540" w:start="1440" w:end="0"/>
        <w:rPr/>
      </w:pPr>
      <w:r>
        <w:rPr>
          <w:b/>
          <w:u w:val="single"/>
        </w:rPr>
        <w:t>Recall Notices Must Allow Time for Contract Validation and Notification to the Bumped Replacement Shipper</w:t>
      </w:r>
      <w:r>
        <w:rPr/>
        <w:t>:  The NOPR suggests that a recalling shipper should immediately be allowed to submit a nomination.  This concept of immediate nomination precludes a pipeline from having processes to validate whether shippers have legitimate contract rights.  Much as the Commission wants to assume away the practicalities of updating contract databases and running validations of these databases against nominations, the fact is that these processes are not instantaneous.  Contractual rights validation is an important process.  It ensures that the capacity rights are not overlapping on any segment of the system.  It means that the parties that are paying for firm capacity service can rely on the availability of that space.</w:t>
      </w:r>
    </w:p>
    <w:p>
      <w:pPr>
        <w:pStyle w:val="BodyText2"/>
        <w:ind w:firstLine="720" w:start="1440" w:end="0"/>
        <w:rPr>
          <w:b/>
          <w:bCs/>
          <w:i/>
          <w:i/>
          <w:iCs/>
        </w:rPr>
      </w:pPr>
      <w:r>
        <w:rPr/>
        <w:t>While individual pipeline systems differ in actual processing time, one thing is common.  It takes some minimum element of time to enter contract data into a database and to compare the contract data against nomination data.  The Commission struck a reasonable design compromise in Order No. 637 when it told pipelines that they must handle contract processing within one hour.  That means that if an executed contract is received by the pipeline by 10:30 AM, a pipeline should update its contract databases such that a nomination on that new contract will pass validation at the 11:30 AM timely nomination cycle.  This same concept should be applied to recall activity.  The Commission should clarify that, at a minimum, a recall notice must be received at least one hour prior to the nomination deadline.  Pipelines must have adequate time to process the recall in each of the three cycles as the process includes notification to the “bumped” shipper.</w:t>
      </w:r>
    </w:p>
    <w:p>
      <w:pPr>
        <w:pStyle w:val="BodyText2"/>
        <w:ind w:firstLine="720" w:start="1440" w:end="0"/>
        <w:rPr>
          <w:b/>
          <w:bCs/>
        </w:rPr>
      </w:pPr>
      <w:r>
        <w:rPr/>
        <w:t xml:space="preserve">In the NOPR, the Commission is proposing to delete GISB Standard No. 5.3.6, which removes the deadline for recall notification to the pipeline and the replacement shipper (acquiring shipper).  It is also proposing “to require pipelines to permit shippers to recall released capacity and renominate such recalled capacity at each nomination opportunity provided by the pipeline according to the notice and bumping provisions applicable to interruptible shippers”. </w:t>
      </w:r>
      <w:r>
        <w:rPr>
          <w:rStyle w:val="FootnoteCharacters"/>
          <w:rStyle w:val="FootnoteReference"/>
        </w:rPr>
        <w:footnoteReference w:id="7"/>
      </w:r>
    </w:p>
    <w:p>
      <w:pPr>
        <w:pStyle w:val="BodyText2"/>
        <w:ind w:firstLine="720" w:start="1440" w:end="0"/>
        <w:rPr/>
      </w:pPr>
      <w:r>
        <w:rPr/>
        <w:t>In order to meet the obligations for all capacity release recall and keep the system intact, the best option for deadlines for notification of recall is to utilize the same as those for submission of non-biddable prearranged deals (GISB Standard No. 5.3.2, Version 1.5).  This timeline includes one hour and 15 minutes between receipt of the recall notice and receipt of the nomination, allowing the pipeline time to update contract information (e.g., contract quantity, points) so that the nomination can be properly validated when received.</w:t>
      </w:r>
    </w:p>
    <w:p>
      <w:pPr>
        <w:pStyle w:val="BodyText2"/>
        <w:ind w:firstLine="720" w:start="1440" w:end="0"/>
        <w:rPr>
          <w:b/>
          <w:bCs/>
          <w:i/>
          <w:i/>
          <w:iCs/>
        </w:rPr>
      </w:pPr>
      <w:r>
        <w:rPr/>
        <w:t>If the nomination timeline (GISB Standard No. 1.3.2) is used for recall notice deadlines, the recall notice and the nomination may be received by the pipeline at the same time or within minutes of each other.  Therefore, the pipeline’s scheduling system would need to accept a nomination for a contract that does not have an MDQ.  Also, the nomination would need to be identified as being associated with a recall, and would be held until it can be validated against updated contract information.</w:t>
      </w:r>
    </w:p>
    <w:p>
      <w:pPr>
        <w:pStyle w:val="BodyText2"/>
        <w:ind w:firstLine="810" w:start="1350" w:end="0"/>
        <w:rPr>
          <w:b/>
          <w:bCs/>
          <w:i/>
          <w:i/>
          <w:iCs/>
        </w:rPr>
      </w:pPr>
      <w:r>
        <w:rPr>
          <w:b/>
          <w:bCs/>
          <w:i/>
          <w:iCs/>
        </w:rPr>
      </w:r>
    </w:p>
    <w:p>
      <w:pPr>
        <w:pStyle w:val="BodyText2"/>
        <w:numPr>
          <w:ilvl w:val="0"/>
          <w:numId w:val="3"/>
        </w:numPr>
        <w:tabs>
          <w:tab w:val="clear" w:pos="720"/>
          <w:tab w:val="left" w:pos="1440" w:leader="none"/>
        </w:tabs>
        <w:ind w:hanging="450" w:start="1440" w:end="0"/>
        <w:rPr>
          <w:b/>
        </w:rPr>
      </w:pPr>
      <w:r>
        <w:rPr>
          <w:b/>
          <w:u w:val="single"/>
        </w:rPr>
        <w:t>Partial Day Recall Processes Need to be Coordinated with Other GISB Processes</w:t>
      </w:r>
      <w:r>
        <w:rPr>
          <w:b/>
        </w:rPr>
        <w:t xml:space="preserve">:  </w:t>
      </w:r>
      <w:r>
        <w:rPr/>
        <w:t>As an example, the concept of partial day transactions conflicts with GISB Standard Nos. 1.3.9 and 5.3.29, and with data elements within GISB standard data sets.  GISB Standard No. 1.3.9 states that “all nominations, including intraday nominations, should be based on a daily quantity.”  GISB Standard No. 5.3.29 states that the “basis for released quantity should be per day for transportation, storage injection, storage withdrawal, and a per-release quantity for storage capacity and total release period quantity.”  In the Offer Download data set (GISB Standard No. 5.4.1), the definition for the data element ‘Minimum Term’ states that the minimum acceptable term is specified “in days”.  These and many other standards do not accommodate partial day transactions.</w:t>
      </w:r>
    </w:p>
    <w:p>
      <w:pPr>
        <w:pStyle w:val="BodyText2"/>
        <w:tabs>
          <w:tab w:val="clear" w:pos="720"/>
          <w:tab w:val="left" w:pos="1440" w:leader="none"/>
        </w:tabs>
        <w:ind w:firstLine="720" w:start="1440" w:end="0"/>
        <w:rPr>
          <w:b/>
        </w:rPr>
      </w:pPr>
      <w:r>
        <w:rPr/>
        <w:t>Consistent with the Commission’s prior practice, upon adoption of this proposal, the matter should be referred to GISB for implementation.  While there was a lack of consensus at GISB on the underlying policy involved with capacity release recalls, the adoption of such a service will impact numerous business practices and protocols.  Once the policy decision is made, the Commission must defer to the GISB consensus process for resolving implementation issues.</w:t>
      </w:r>
    </w:p>
    <w:p>
      <w:pPr>
        <w:pStyle w:val="BodyText2"/>
        <w:ind w:firstLine="720" w:end="0"/>
        <w:rPr>
          <w:b/>
        </w:rPr>
      </w:pPr>
      <w:r>
        <w:rPr>
          <w:b/>
        </w:rPr>
      </w:r>
      <w:r>
        <w:br w:type="page"/>
      </w:r>
    </w:p>
    <w:p>
      <w:pPr>
        <w:pStyle w:val="BodyText2"/>
        <w:spacing w:lineRule="auto" w:line="240"/>
        <w:ind w:hanging="720" w:start="720" w:end="0"/>
        <w:rPr>
          <w:b/>
        </w:rPr>
      </w:pPr>
      <w:r>
        <w:rPr>
          <w:b/>
        </w:rPr>
      </w:r>
    </w:p>
    <w:p>
      <w:pPr>
        <w:pStyle w:val="BodyText2"/>
        <w:spacing w:lineRule="auto" w:line="240"/>
        <w:jc w:val="center"/>
        <w:rPr>
          <w:b/>
        </w:rPr>
      </w:pPr>
      <w:r>
        <w:rPr>
          <w:b/>
        </w:rPr>
      </w:r>
    </w:p>
    <w:p>
      <w:pPr>
        <w:pStyle w:val="BodyText2"/>
        <w:spacing w:lineRule="auto" w:line="240"/>
        <w:jc w:val="center"/>
        <w:rPr>
          <w:b/>
        </w:rPr>
      </w:pPr>
      <w:r>
        <w:rPr>
          <w:b/>
        </w:rPr>
        <w:t>IV.</w:t>
      </w:r>
    </w:p>
    <w:p>
      <w:pPr>
        <w:pStyle w:val="BodyText2"/>
        <w:spacing w:lineRule="auto" w:line="240"/>
        <w:jc w:val="center"/>
        <w:rPr>
          <w:b/>
        </w:rPr>
      </w:pPr>
      <w:r>
        <w:rPr>
          <w:b/>
        </w:rPr>
        <w:t>CONCLUSION</w:t>
      </w:r>
    </w:p>
    <w:p>
      <w:pPr>
        <w:pStyle w:val="BodyText2"/>
        <w:jc w:val="center"/>
        <w:rPr>
          <w:b/>
        </w:rPr>
      </w:pPr>
      <w:r>
        <w:rPr>
          <w:b/>
        </w:rPr>
      </w:r>
    </w:p>
    <w:p>
      <w:pPr>
        <w:pStyle w:val="BodyText2"/>
        <w:ind w:firstLine="720" w:end="0"/>
        <w:rPr>
          <w:b/>
        </w:rPr>
      </w:pPr>
      <w:r>
        <w:rPr/>
        <w:t>The Commission should not adopt its current proposal because it provides firm shippers that recall capacity with rights, benefits and services that most pipelines do not offer.  As proposed, partial day recalls will impact the firm service of numerous shippers not directly involved in the recall transaction.  Before proceeding, the Commission must convene a technical conference to seek a better understanding of the issues identified herein and the effects of adopting these proposals.  Ultimately, if the Commission insists on adopting this proposal, it must refer the matter back to GISB to establish the appropriate business standards and protocols for implementation.</w:t>
      </w:r>
    </w:p>
    <w:p>
      <w:pPr>
        <w:pStyle w:val="BodyText2"/>
        <w:rPr>
          <w:b/>
        </w:rPr>
      </w:pPr>
      <w:r>
        <w:rPr>
          <w:b/>
        </w:rPr>
      </w:r>
    </w:p>
    <w:p>
      <w:pPr>
        <w:pStyle w:val="BodyText2"/>
        <w:jc w:val="center"/>
        <w:rPr>
          <w:b/>
        </w:rPr>
      </w:pPr>
      <w:r>
        <w:rPr>
          <w:b/>
        </w:rPr>
      </w:r>
    </w:p>
    <w:p>
      <w:pPr>
        <w:pStyle w:val="Normal"/>
        <w:spacing w:lineRule="exact" w:line="240"/>
        <w:ind w:start="3150" w:end="0"/>
        <w:rPr>
          <w:b/>
          <w:sz w:val="24"/>
        </w:rPr>
      </w:pPr>
      <w:r>
        <w:rPr>
          <w:b/>
          <w:sz w:val="24"/>
        </w:rPr>
      </w:r>
    </w:p>
    <w:p>
      <w:pPr>
        <w:pStyle w:val="Normal"/>
        <w:tabs>
          <w:tab w:val="clear" w:pos="720"/>
          <w:tab w:val="left" w:pos="-720" w:leader="none"/>
          <w:tab w:val="left" w:pos="3240" w:leader="none"/>
        </w:tabs>
        <w:suppressAutoHyphens w:val="true"/>
        <w:jc w:val="both"/>
        <w:rPr>
          <w:b/>
          <w:spacing w:val="-3"/>
          <w:sz w:val="24"/>
        </w:rPr>
      </w:pPr>
      <w:r>
        <w:rPr>
          <w:b/>
          <w:spacing w:val="-3"/>
          <w:sz w:val="24"/>
        </w:rPr>
      </w:r>
    </w:p>
    <w:p>
      <w:pPr>
        <w:pStyle w:val="Normal"/>
        <w:tabs>
          <w:tab w:val="clear" w:pos="720"/>
          <w:tab w:val="left" w:pos="-720" w:leader="none"/>
          <w:tab w:val="left" w:pos="3240" w:leader="none"/>
        </w:tabs>
        <w:suppressAutoHyphens w:val="true"/>
        <w:jc w:val="both"/>
        <w:rPr>
          <w:spacing w:val="-3"/>
          <w:sz w:val="24"/>
        </w:rPr>
      </w:pPr>
      <w:r>
        <w:rPr>
          <w:spacing w:val="-3"/>
          <w:sz w:val="24"/>
        </w:rPr>
        <w:tab/>
        <w:t>Respectfully submitted,</w:t>
      </w:r>
    </w:p>
    <w:p>
      <w:pPr>
        <w:pStyle w:val="Normal"/>
        <w:tabs>
          <w:tab w:val="clear" w:pos="720"/>
          <w:tab w:val="left" w:pos="-720" w:leader="none"/>
          <w:tab w:val="left" w:pos="3240" w:leader="none"/>
        </w:tabs>
        <w:suppressAutoHyphens w:val="true"/>
        <w:jc w:val="both"/>
        <w:rPr>
          <w:spacing w:val="-3"/>
          <w:sz w:val="24"/>
        </w:rPr>
      </w:pPr>
      <w:r>
        <w:rPr>
          <w:spacing w:val="-3"/>
          <w:sz w:val="24"/>
        </w:rPr>
      </w:r>
    </w:p>
    <w:p>
      <w:pPr>
        <w:pStyle w:val="Normal"/>
        <w:tabs>
          <w:tab w:val="clear" w:pos="720"/>
          <w:tab w:val="left" w:pos="-720" w:leader="none"/>
          <w:tab w:val="left" w:pos="3240" w:leader="none"/>
        </w:tabs>
        <w:suppressAutoHyphens w:val="true"/>
        <w:jc w:val="both"/>
        <w:rPr>
          <w:spacing w:val="-3"/>
          <w:sz w:val="24"/>
        </w:rPr>
      </w:pPr>
      <w:r>
        <w:rPr>
          <w:spacing w:val="-3"/>
          <w:sz w:val="24"/>
        </w:rPr>
        <w:tab/>
        <w:t>_____________________________________</w:t>
      </w:r>
    </w:p>
    <w:p>
      <w:pPr>
        <w:pStyle w:val="Normal"/>
        <w:tabs>
          <w:tab w:val="clear" w:pos="720"/>
          <w:tab w:val="left" w:pos="3240" w:leader="none"/>
        </w:tabs>
        <w:ind w:start="3240" w:end="0"/>
        <w:rPr>
          <w:sz w:val="24"/>
        </w:rPr>
      </w:pPr>
      <w:r>
        <w:rPr>
          <w:sz w:val="24"/>
        </w:rPr>
        <w:t>Joseph R. Hartsoe</w:t>
      </w:r>
    </w:p>
    <w:p>
      <w:pPr>
        <w:pStyle w:val="Normal"/>
        <w:tabs>
          <w:tab w:val="clear" w:pos="720"/>
          <w:tab w:val="left" w:pos="3240" w:leader="none"/>
        </w:tabs>
        <w:ind w:start="3240" w:end="0"/>
        <w:rPr>
          <w:sz w:val="24"/>
        </w:rPr>
      </w:pPr>
      <w:r>
        <w:rPr>
          <w:sz w:val="24"/>
        </w:rPr>
        <w:t>Vice President, Regulatory and Legislative Affairs</w:t>
      </w:r>
    </w:p>
    <w:p>
      <w:pPr>
        <w:pStyle w:val="Normal"/>
        <w:tabs>
          <w:tab w:val="clear" w:pos="720"/>
          <w:tab w:val="left" w:pos="3240" w:leader="none"/>
        </w:tabs>
        <w:ind w:start="3240" w:end="0"/>
        <w:rPr>
          <w:sz w:val="24"/>
        </w:rPr>
      </w:pPr>
      <w:r>
        <w:rPr>
          <w:sz w:val="24"/>
        </w:rPr>
        <w:t>Enron Transportation Services Company</w:t>
      </w:r>
    </w:p>
    <w:p>
      <w:pPr>
        <w:pStyle w:val="Normal"/>
        <w:tabs>
          <w:tab w:val="clear" w:pos="720"/>
          <w:tab w:val="left" w:pos="3240" w:leader="none"/>
        </w:tabs>
        <w:ind w:start="3240" w:end="0"/>
        <w:rPr>
          <w:sz w:val="24"/>
        </w:rPr>
      </w:pPr>
      <w:r>
        <w:rPr>
          <w:sz w:val="24"/>
        </w:rPr>
        <w:t>1775 Eye Street, N.W. Suite 800</w:t>
      </w:r>
    </w:p>
    <w:p>
      <w:pPr>
        <w:pStyle w:val="Normal"/>
        <w:tabs>
          <w:tab w:val="clear" w:pos="720"/>
          <w:tab w:val="left" w:pos="3240" w:leader="none"/>
        </w:tabs>
        <w:ind w:start="3240" w:end="0"/>
        <w:rPr>
          <w:sz w:val="24"/>
        </w:rPr>
      </w:pPr>
      <w:r>
        <w:rPr>
          <w:sz w:val="24"/>
        </w:rPr>
        <w:t>Washington, D.C. 20006</w:t>
      </w:r>
    </w:p>
    <w:p>
      <w:pPr>
        <w:pStyle w:val="Normal"/>
        <w:tabs>
          <w:tab w:val="clear" w:pos="720"/>
          <w:tab w:val="left" w:pos="3240" w:leader="none"/>
        </w:tabs>
        <w:ind w:start="3240" w:end="0"/>
        <w:rPr>
          <w:sz w:val="24"/>
        </w:rPr>
      </w:pPr>
      <w:r>
        <w:rPr>
          <w:sz w:val="24"/>
        </w:rPr>
        <w:t>Phone:  (202) 466-9150</w:t>
      </w:r>
    </w:p>
    <w:p>
      <w:pPr>
        <w:pStyle w:val="Normal"/>
        <w:tabs>
          <w:tab w:val="clear" w:pos="720"/>
          <w:tab w:val="left" w:pos="3240" w:leader="none"/>
        </w:tabs>
        <w:ind w:start="3240" w:end="0"/>
        <w:rPr>
          <w:sz w:val="24"/>
        </w:rPr>
      </w:pPr>
      <w:r>
        <w:rPr>
          <w:sz w:val="24"/>
        </w:rPr>
        <w:t xml:space="preserve">Email: </w:t>
      </w:r>
      <w:r>
        <w:rPr>
          <w:rStyle w:val="Hyperlink"/>
          <w:sz w:val="24"/>
        </w:rPr>
        <w:t>joe.hartsoe@enron.com</w:t>
      </w:r>
    </w:p>
    <w:p>
      <w:pPr>
        <w:pStyle w:val="Normal"/>
        <w:tabs>
          <w:tab w:val="clear" w:pos="720"/>
          <w:tab w:val="left" w:pos="3240" w:leader="none"/>
        </w:tabs>
        <w:ind w:start="3240" w:end="0"/>
        <w:rPr>
          <w:sz w:val="24"/>
        </w:rPr>
      </w:pPr>
      <w:r>
        <w:rPr>
          <w:sz w:val="24"/>
        </w:rPr>
      </w:r>
    </w:p>
    <w:p>
      <w:pPr>
        <w:pStyle w:val="Normal"/>
        <w:tabs>
          <w:tab w:val="clear" w:pos="720"/>
          <w:tab w:val="left" w:pos="3240" w:leader="none"/>
        </w:tabs>
        <w:ind w:start="3240" w:end="0"/>
        <w:rPr>
          <w:sz w:val="24"/>
        </w:rPr>
      </w:pPr>
      <w:r>
        <w:rPr>
          <w:sz w:val="24"/>
        </w:rPr>
        <w:t>For the Enron Interstate Pipelines</w:t>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s>
        <w:suppressAutoHyphens w:val="true"/>
        <w:jc w:val="both"/>
        <w:rPr/>
      </w:pPr>
      <w:r>
        <w:rPr>
          <w:spacing w:val="-3"/>
          <w:sz w:val="24"/>
        </w:rPr>
        <w:t>Dated this 19</w:t>
      </w:r>
      <w:r>
        <w:rPr>
          <w:spacing w:val="-3"/>
          <w:sz w:val="24"/>
          <w:vertAlign w:val="superscript"/>
        </w:rPr>
        <w:t>th</w:t>
      </w:r>
      <w:r>
        <w:rPr>
          <w:spacing w:val="-3"/>
          <w:sz w:val="24"/>
        </w:rPr>
        <w:t xml:space="preserve"> day of November 2001.</w:t>
      </w:r>
    </w:p>
    <w:p>
      <w:pPr>
        <w:pStyle w:val="Normal"/>
        <w:suppressAutoHyphens w:val="true"/>
        <w:jc w:val="both"/>
        <w:rPr>
          <w:spacing w:val="-3"/>
          <w:sz w:val="24"/>
        </w:rPr>
      </w:pPr>
      <w:r>
        <w:rPr>
          <w:spacing w:val="-3"/>
          <w:sz w:val="24"/>
        </w:rPr>
      </w:r>
    </w:p>
    <w:p>
      <w:pPr>
        <w:pStyle w:val="Normal"/>
        <w:suppressAutoHyphens w:val="true"/>
        <w:jc w:val="both"/>
        <w:rPr>
          <w:spacing w:val="-3"/>
          <w:sz w:val="24"/>
        </w:rPr>
      </w:pPr>
      <w:r>
        <w:rPr>
          <w:spacing w:val="-3"/>
          <w:sz w:val="24"/>
        </w:rPr>
      </w:r>
    </w:p>
    <w:p>
      <w:pPr>
        <w:pStyle w:val="Normal"/>
        <w:suppressAutoHyphens w:val="true"/>
        <w:jc w:val="both"/>
        <w:rPr>
          <w:spacing w:val="-3"/>
          <w:sz w:val="24"/>
        </w:rPr>
      </w:pPr>
      <w:r>
        <w:rPr>
          <w:spacing w:val="-3"/>
          <w:sz w:val="24"/>
        </w:rPr>
      </w:r>
    </w:p>
    <w:p>
      <w:pPr>
        <w:pStyle w:val="Normal"/>
        <w:suppressAutoHyphens w:val="true"/>
        <w:rPr>
          <w:spacing w:val="-3"/>
          <w:sz w:val="24"/>
        </w:rPr>
      </w:pPr>
      <w:r>
        <w:rPr>
          <w:spacing w:val="-3"/>
          <w:sz w:val="24"/>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35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 w:name="Galliard">
    <w:altName w:val="Goudy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32"/>
      </w:rPr>
    </w:pPr>
    <w:r>
      <w:rPr>
        <w:sz w:val="32"/>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w:t>
    </w:r>
    <w:r>
      <w:rPr>
        <w:rStyle w:val="PageNumber"/>
        <w:sz w:val="16"/>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Enron Interstate Pipelines are comprised of Northern Natural Gas Company, Transwestern Pipeline Company, and Florida Gas Transmission Company.  Northern, Transwestern, and Florida Gas own and operate pipeline systems and perform natural gas transportation services on behalf of numerous customers, and are each interstate pipelines subject to the jurisdiction of the Commission under the Natural Gas Act.</w:t>
      </w:r>
    </w:p>
  </w:footnote>
  <w:footnote w:id="3">
    <w:p>
      <w:pPr>
        <w:pStyle w:val="FootnoteText"/>
        <w:rPr/>
      </w:pPr>
      <w:r>
        <w:rPr>
          <w:rStyle w:val="FootnoteCharacters"/>
        </w:rPr>
        <w:footnoteRef/>
      </w:r>
      <w:r>
        <w:rPr/>
        <w:t xml:space="preserve"> </w:t>
      </w:r>
      <w:r>
        <w:rPr>
          <w:i/>
          <w:iCs/>
        </w:rPr>
        <w:t>Standards for Business Practices of Interstate Natural Gas Pipelines</w:t>
      </w:r>
      <w:r>
        <w:rPr/>
        <w:t>, 97 FERC ¶ 61,047 (October 12, 2001).</w:t>
      </w:r>
    </w:p>
  </w:footnote>
  <w:footnote w:id="4">
    <w:p>
      <w:pPr>
        <w:pStyle w:val="FootnoteText"/>
        <w:rPr/>
      </w:pPr>
      <w:r>
        <w:rPr>
          <w:rStyle w:val="FootnoteCharacters"/>
        </w:rPr>
        <w:footnoteRef/>
      </w:r>
      <w:r>
        <w:rPr/>
        <w:t xml:space="preserve"> </w:t>
      </w:r>
      <w:r>
        <w:rPr/>
        <w:t xml:space="preserve">NOPR, </w:t>
      </w:r>
      <w:r>
        <w:rPr>
          <w:i/>
          <w:iCs/>
        </w:rPr>
        <w:t>mimeo</w:t>
      </w:r>
      <w:r>
        <w:rPr/>
        <w:t>. at 6.</w:t>
      </w:r>
    </w:p>
  </w:footnote>
  <w:footnote w:id="5">
    <w:p>
      <w:pPr>
        <w:pStyle w:val="FootnoteText"/>
        <w:rPr/>
      </w:pPr>
      <w:r>
        <w:rPr>
          <w:rStyle w:val="FootnoteCharacters"/>
        </w:rPr>
        <w:footnoteRef/>
      </w:r>
      <w:r>
        <w:rPr/>
        <w:t xml:space="preserve"> </w:t>
      </w:r>
      <w:r>
        <w:rPr/>
        <w:t xml:space="preserve">NOPR, </w:t>
      </w:r>
      <w:r>
        <w:rPr>
          <w:i/>
          <w:iCs/>
        </w:rPr>
        <w:t>mimeo</w:t>
      </w:r>
      <w:r>
        <w:rPr/>
        <w:t>. at 3.</w:t>
      </w:r>
    </w:p>
  </w:footnote>
  <w:footnote w:id="6">
    <w:p>
      <w:pPr>
        <w:pStyle w:val="FootnoteText"/>
        <w:rPr/>
      </w:pPr>
      <w:r>
        <w:rPr>
          <w:rStyle w:val="FootnoteCharacters"/>
        </w:rPr>
        <w:footnoteRef/>
      </w:r>
      <w:r>
        <w:rPr/>
        <w:t xml:space="preserve"> </w:t>
      </w:r>
      <w:r>
        <w:rPr/>
        <w:t>Further, as defined in the NOPR, not only can a partial day recall cover a specified portion of a gas day, but it could cover the same portion of numerous gas days within a specified range of dates.  For instance, a shipper could submit a nomination covering the time period between 7:00 a.m. and 9:00 a.m. on each day within the range of November 4 through November 10.</w:t>
      </w:r>
    </w:p>
  </w:footnote>
  <w:footnote w:id="7">
    <w:p>
      <w:pPr>
        <w:pStyle w:val="FootnoteText"/>
        <w:rPr/>
      </w:pPr>
      <w:r>
        <w:rPr>
          <w:rStyle w:val="FootnoteCharacters"/>
        </w:rPr>
        <w:footnoteRef/>
      </w:r>
      <w:r>
        <w:rPr/>
        <w:t xml:space="preserve"> </w:t>
      </w:r>
      <w:r>
        <w:rPr/>
        <w:t xml:space="preserve">NOPR, </w:t>
      </w:r>
      <w:r>
        <w:rPr>
          <w:i/>
          <w:iCs/>
        </w:rPr>
        <w:t>mimeo</w:t>
      </w:r>
      <w:r>
        <w:rPr/>
        <w:t>. at 8.</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720" w:hanging="360"/>
      </w:pPr>
    </w:lvl>
  </w:abstractNum>
  <w:abstractNum w:abstractNumId="3">
    <w:lvl w:ilvl="0">
      <w:start w:val="1"/>
      <w:numFmt w:val="upperLetter"/>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suppressAutoHyphens w:val="true"/>
      <w:jc w:val="center"/>
      <w:outlineLvl w:val="1"/>
    </w:pPr>
    <w:rPr>
      <w:spacing w:val="-3"/>
      <w:sz w:val="24"/>
      <w:u w:val="single"/>
    </w:rPr>
  </w:style>
  <w:style w:type="paragraph" w:styleId="Heading9">
    <w:name w:val="heading 9"/>
    <w:basedOn w:val="Normal"/>
    <w:next w:val="Normal"/>
    <w:qFormat/>
    <w:pPr>
      <w:keepNext w:val="true"/>
      <w:numPr>
        <w:ilvl w:val="8"/>
        <w:numId w:val="1"/>
      </w:numPr>
      <w:spacing w:lineRule="exact" w:line="240"/>
      <w:ind w:firstLine="270" w:start="2880" w:end="0"/>
      <w:outlineLvl w:val="8"/>
    </w:pPr>
    <w:rPr>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5">
    <w:name w:val="WW8Num8z5"/>
    <w:qFormat/>
    <w:rPr>
      <w:rFonts w:ascii="Wingdings" w:hAnsi="Wingdings" w:cs="Wingdings"/>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Document2">
    <w:name w:val="Document 2"/>
    <w:basedOn w:val="DefaultParagraphFont"/>
    <w:qFormat/>
    <w:rPr>
      <w:rFonts w:ascii="Courier New" w:hAnsi="Courier New" w:cs="Courier New"/>
      <w:sz w:val="24"/>
      <w:lang w:val="en-US"/>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tyle>
  <w:style w:type="paragraph" w:styleId="DefaultText">
    <w:name w:val="Default Text"/>
    <w:basedOn w:val="Normal"/>
    <w:qFormat/>
    <w:pPr>
      <w:spacing w:lineRule="atLeast" w:line="316" w:before="200" w:after="100"/>
      <w:ind w:hanging="720" w:start="720" w:end="0"/>
      <w:jc w:val="both"/>
    </w:pPr>
    <w:rPr>
      <w:rFonts w:ascii="Helvetica" w:hAnsi="Helvetica" w:cs="Helvetica"/>
      <w:sz w:val="20"/>
      <w:lang w:val="en-CA" w:eastAsia="en-CA"/>
    </w:rPr>
  </w:style>
  <w:style w:type="paragraph" w:styleId="BodyText2">
    <w:name w:val="Body Text 2"/>
    <w:basedOn w:val="Normal"/>
    <w:qFormat/>
    <w:pPr>
      <w:spacing w:lineRule="auto" w:line="480"/>
    </w:pPr>
    <w:rPr>
      <w:sz w:val="24"/>
    </w:rPr>
  </w:style>
  <w:style w:type="paragraph" w:styleId="WW-BodyText2">
    <w:name w:val="WW-Body Text 2"/>
    <w:basedOn w:val="Normal"/>
    <w:qFormat/>
    <w:pPr>
      <w:spacing w:lineRule="auto" w:line="480"/>
      <w:ind w:firstLine="720" w:start="0" w:end="0"/>
    </w:pPr>
    <w:rPr>
      <w:sz w:val="24"/>
    </w:rPr>
  </w:style>
  <w:style w:type="paragraph" w:styleId="FootnoteText">
    <w:name w:val="footnote text"/>
    <w:basedOn w:val="Normal"/>
    <w:pPr/>
    <w:rPr>
      <w:sz w:val="20"/>
    </w:rPr>
  </w:style>
  <w:style w:type="paragraph" w:styleId="BodyTextIndent">
    <w:name w:val="Body Text Indent"/>
    <w:basedOn w:val="Normal"/>
    <w:pPr>
      <w:spacing w:lineRule="auto" w:line="480"/>
      <w:ind w:firstLine="720" w:start="0" w:end="0"/>
      <w:jc w:val="both"/>
    </w:pPr>
    <w:rPr>
      <w:sz w:val="24"/>
    </w:rPr>
  </w:style>
  <w:style w:type="paragraph" w:styleId="BodyTextStyle">
    <w:name w:val="Body Text Style"/>
    <w:basedOn w:val="Normal"/>
    <w:qFormat/>
    <w:pPr>
      <w:spacing w:lineRule="auto" w:line="480"/>
      <w:ind w:firstLine="720" w:start="0" w:end="0"/>
      <w:jc w:val="both"/>
    </w:pPr>
    <w:rPr>
      <w:rFonts w:ascii="Galliard;Goudy Old Style" w:hAnsi="Galliard;Goudy Old Style" w:cs="Galliard;Goudy Old Style"/>
      <w:sz w:val="24"/>
    </w:rPr>
  </w:style>
  <w:style w:type="paragraph" w:styleId="BodyTextIndent2">
    <w:name w:val="Body Text Indent 2"/>
    <w:basedOn w:val="Normal"/>
    <w:qFormat/>
    <w:pPr>
      <w:spacing w:lineRule="auto" w:line="480"/>
      <w:ind w:firstLine="360" w:start="0" w:end="0"/>
    </w:pPr>
    <w:rPr/>
  </w:style>
  <w:style w:type="paragraph" w:styleId="BodyTextIndent3">
    <w:name w:val="Body Text Indent 3"/>
    <w:basedOn w:val="Normal"/>
    <w:qFormat/>
    <w:pPr>
      <w:spacing w:lineRule="auto" w:line="480"/>
      <w:ind w:firstLine="720" w:start="0" w:end="0"/>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2001-11-19T18:03:00Z</dcterms:created>
  <dc:creator>Jan Butler</dc:creator>
  <dc:description/>
  <dc:language>en-CA</dc:language>
  <cp:lastModifiedBy>nbagot</cp:lastModifiedBy>
  <cp:lastPrinted>2001-11-19T15:28:00Z</cp:lastPrinted>
  <dcterms:modified xsi:type="dcterms:W3CDTF">2001-11-19T18:03:00Z</dcterms:modified>
  <cp:revision>2</cp:revision>
  <dc:subject/>
  <dc:title>Electronic Filing</dc:title>
</cp:coreProperties>
</file>