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  Announcement</w:t>
      </w:r>
    </w:p>
    <w:p>
      <w:pPr>
        <w:pStyle w:val="Normal"/>
        <w:rPr/>
      </w:pPr>
      <w:r>
        <w:rPr/>
      </w:r>
    </w:p>
    <w:p>
      <w:pPr>
        <w:pStyle w:val="Normal"/>
        <w:ind w:firstLine="720" w:end="0"/>
        <w:rPr/>
      </w:pPr>
      <w:r>
        <w:rPr/>
        <w:tab/>
        <w:t xml:space="preserve">Over the past few weeks we have taken aggressive action to restore confidence, ensure liquidity, strengthen our balance sheet and reassure our customers.  We have accomplished a great deal, but we still have more to do. Our long term success will depend on which businesses we focus resources on and how efficiently we operate in the near term.  Consequently, we are reviewing each of our businesses to determine their prospects, their near term earnings and cash flow potential, their fit into our overall strategy, and their cost structure.  </w:t>
      </w:r>
    </w:p>
    <w:p>
      <w:pPr>
        <w:pStyle w:val="Normal"/>
        <w:ind w:firstLine="720" w:end="0"/>
        <w:rPr/>
      </w:pPr>
      <w:r>
        <w:rPr/>
      </w:r>
    </w:p>
    <w:p>
      <w:pPr>
        <w:pStyle w:val="Normal"/>
        <w:ind w:firstLine="720" w:end="0"/>
        <w:rPr/>
      </w:pPr>
      <w:r>
        <w:rPr/>
        <w:t xml:space="preserve">As we have said before, we we have been identifying for our investors those businesses which are core, noncore, and “under review.”  </w:t>
      </w:r>
    </w:p>
    <w:p>
      <w:pPr>
        <w:pStyle w:val="Normal"/>
        <w:ind w:firstLine="720" w:end="0"/>
        <w:rPr/>
      </w:pPr>
      <w:r>
        <w:rPr/>
      </w:r>
    </w:p>
    <w:p>
      <w:pPr>
        <w:pStyle w:val="Normal"/>
        <w:ind w:firstLine="720" w:end="0"/>
        <w:rPr/>
      </w:pPr>
      <w:r>
        <w:rPr/>
        <w:t>The fact that a business is identified as noncore, either initially or after further review, does not necessarily mean that the business is being discontinued.  Our asset businesses for example, must have adequate staff and resources to retain the value of those businesses and ensure their continued safe and efficient operation even if the objective is to sell the asset.  Similarly, a business, which, after review, is determined to be noncore may be sold as a going concern, rather than discontinued.  In each such case we will need to retain, and hope to retain, the talented individuals who make those businesses valuable.</w:t>
      </w:r>
    </w:p>
    <w:p>
      <w:pPr>
        <w:pStyle w:val="Normal"/>
        <w:ind w:firstLine="720" w:end="0"/>
        <w:rPr/>
      </w:pPr>
      <w:r>
        <w:rPr/>
      </w:r>
    </w:p>
    <w:p>
      <w:pPr>
        <w:pStyle w:val="Normal"/>
        <w:ind w:firstLine="720" w:end="0"/>
        <w:rPr/>
      </w:pPr>
      <w:r>
        <w:rPr/>
        <w:t xml:space="preserve">Our goal in this review is to make Enron stronger and more efficient.  We will make these decisions as expeditiously as possible and will keep you informed at each step in the process. </w:t>
      </w:r>
    </w:p>
    <w:p>
      <w:pPr>
        <w:pStyle w:val="Normal"/>
        <w:rPr/>
      </w:pPr>
      <w:r>
        <w:rPr/>
      </w:r>
    </w:p>
    <w:p>
      <w:pPr>
        <w:pStyle w:val="Normal"/>
        <w:rPr/>
      </w:pPr>
      <w:r>
        <w:rPr/>
        <w:tab/>
        <w:t xml:space="preserve">Jim Fallon, currently President and CEO of Enron Broadband Services (EBS), will coordinate the business review process.  Rich DiMichele, currently managing director of EBS, will replace Jim as President and CEO.  </w:t>
      </w:r>
    </w:p>
    <w:p>
      <w:pPr>
        <w:pStyle w:val="Normal"/>
        <w:rPr/>
      </w:pPr>
      <w:r>
        <w:rPr/>
      </w:r>
    </w:p>
    <w:p>
      <w:pPr>
        <w:pStyle w:val="Normal"/>
        <w:rPr/>
      </w:pPr>
      <w:r>
        <w:rPr/>
        <w:tab/>
        <w:t>Jim has already begun working with business unit and support organization leadership to review staffing and resource levels for each of our businesses.</w:t>
      </w:r>
    </w:p>
    <w:p>
      <w:pPr>
        <w:pStyle w:val="Normal"/>
        <w:rPr/>
      </w:pPr>
      <w:r>
        <w:rPr/>
      </w:r>
    </w:p>
    <w:p>
      <w:pPr>
        <w:pStyle w:val="Normal"/>
        <w:ind w:firstLine="720" w:end="0"/>
        <w:rPr/>
      </w:pPr>
      <w:r>
        <w:rPr/>
        <w:t>By November 27 we will have developed the first stage of our restructuring plan.  We will announce it to all employees on that day.  Over the next few days following November 27, management will be talking with each employee about how that employee is affected.</w:t>
      </w:r>
    </w:p>
    <w:p>
      <w:pPr>
        <w:pStyle w:val="Normal"/>
        <w:ind w:firstLine="720" w:end="0"/>
        <w:rPr/>
      </w:pPr>
      <w:r>
        <w:rPr/>
        <w:t xml:space="preserve"> </w:t>
      </w:r>
    </w:p>
    <w:p>
      <w:pPr>
        <w:pStyle w:val="Normal"/>
        <w:ind w:firstLine="720" w:end="0"/>
        <w:rPr/>
      </w:pPr>
      <w:r>
        <w:rPr/>
        <w:t>In addition, we must begin preparing for the completion of our merger with Dynegy and the integration of our two organizations.  Our goal is to put together the strongest possible combined organization: an organization with the best systems, facilities and people.  Not all of this needs to be accomplished immediately, but we do need to start the process early and steadily escalate this activity as closing approaches.  We have asked Steve Kean, Executive Vice President and Chief of Staff, to lead this effort for Enron.  Steve will work with his counterparts at Dynegy to begin this process.  We will be adding additional resources to this effort as time goes on.</w:t>
      </w:r>
    </w:p>
    <w:p>
      <w:pPr>
        <w:pStyle w:val="Normal"/>
        <w:ind w:firstLine="720" w:end="0"/>
        <w:rPr/>
      </w:pPr>
      <w:r>
        <w:rPr/>
      </w:r>
    </w:p>
    <w:p>
      <w:pPr>
        <w:pStyle w:val="Normal"/>
        <w:ind w:firstLine="720" w:end="0"/>
        <w:rPr/>
      </w:pPr>
      <w:r>
        <w:rPr/>
        <w:t>We ask that you provide Jim and Steve with your full cooperation and suppport in their efforts.</w:t>
      </w:r>
    </w:p>
    <w:p>
      <w:pPr>
        <w:pStyle w:val="Normal"/>
        <w:ind w:firstLine="720" w:end="0"/>
        <w:rPr/>
      </w:pPr>
      <w:r>
        <w:rPr/>
      </w:r>
    </w:p>
    <w:p>
      <w:pPr>
        <w:pStyle w:val="Normal"/>
        <w:rPr/>
      </w:pPr>
      <w:r>
        <w:rPr/>
        <w:t>Thank you again for all of your work and dedication to Enron.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2001-11-16T20:15:00Z</dcterms:created>
  <dc:creator>skean</dc:creator>
  <dc:description/>
  <dc:language>en-CA</dc:language>
  <cp:lastModifiedBy>skean</cp:lastModifiedBy>
  <cp:lastPrinted>2001-11-16T14:36:00Z</cp:lastPrinted>
  <dcterms:modified xsi:type="dcterms:W3CDTF">2001-11-16T20:16:00Z</dcterms:modified>
  <cp:revision>3</cp:revision>
  <dc:subject/>
  <dc:title>Re:  Announcement</dc:title>
</cp:coreProperties>
</file>