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w:t>
      </w:r>
    </w:p>
    <w:p>
      <w:pPr>
        <w:pStyle w:val="Heading"/>
        <w:rPr/>
      </w:pPr>
      <w:r>
        <w:rPr/>
        <w:t>Tahoe Update</w:t>
      </w:r>
    </w:p>
    <w:p>
      <w:pPr>
        <w:pStyle w:val="Normal"/>
        <w:autoSpaceDE w:val="false"/>
        <w:jc w:val="center"/>
        <w:rPr>
          <w:rFonts w:ascii="Arial" w:hAnsi="Arial" w:cs="Arial"/>
          <w:b/>
          <w:bCs/>
          <w:szCs w:val="20"/>
        </w:rPr>
      </w:pPr>
      <w:r>
        <w:rPr>
          <w:rFonts w:cs="Arial" w:ascii="Arial" w:hAnsi="Arial"/>
          <w:b/>
          <w:bCs/>
          <w:szCs w:val="20"/>
        </w:rPr>
        <w:t>11.06.01</w:t>
      </w:r>
    </w:p>
    <w:p>
      <w:pPr>
        <w:pStyle w:val="Normal"/>
        <w:autoSpaceDE w:val="false"/>
        <w:jc w:val="center"/>
        <w:rPr>
          <w:rFonts w:ascii="Arial" w:hAnsi="Arial" w:cs="Arial"/>
          <w:b/>
          <w:bCs/>
          <w:sz w:val="20"/>
          <w:szCs w:val="20"/>
          <w:u w:val="single"/>
        </w:rPr>
      </w:pPr>
      <w:r>
        <w:rPr>
          <w:rFonts w:cs="Arial" w:ascii="Arial" w:hAnsi="Arial"/>
          <w:b/>
          <w:bCs/>
          <w:sz w:val="20"/>
          <w:szCs w:val="20"/>
          <w:u w:val="single"/>
        </w:rPr>
      </w:r>
    </w:p>
    <w:p>
      <w:pPr>
        <w:pStyle w:val="Normal"/>
        <w:autoSpaceDE w:val="false"/>
        <w:jc w:val="center"/>
        <w:rPr>
          <w:rFonts w:ascii="Arial" w:hAnsi="Arial" w:cs="Arial"/>
          <w:sz w:val="20"/>
          <w:szCs w:val="20"/>
          <w:u w:val="single"/>
        </w:rPr>
      </w:pPr>
      <w:r>
        <w:rPr>
          <w:rFonts w:cs="Arial" w:ascii="Arial" w:hAnsi="Arial"/>
          <w:sz w:val="20"/>
          <w:szCs w:val="20"/>
          <w:u w:val="single"/>
        </w:rPr>
      </w:r>
    </w:p>
    <w:p>
      <w:pPr>
        <w:pStyle w:val="Normal"/>
        <w:autoSpaceDE w:val="false"/>
        <w:jc w:val="center"/>
        <w:rPr>
          <w:rFonts w:ascii="Arial" w:hAnsi="Arial" w:cs="Arial"/>
          <w:sz w:val="20"/>
          <w:szCs w:val="20"/>
          <w:u w:val="single"/>
        </w:rPr>
      </w:pPr>
      <w:r>
        <w:rPr>
          <w:rFonts w:cs="Arial" w:ascii="Arial" w:hAnsi="Arial"/>
          <w:sz w:val="20"/>
          <w:szCs w:val="20"/>
          <w:u w:val="single"/>
        </w:rPr>
      </w:r>
    </w:p>
    <w:p>
      <w:pPr>
        <w:pStyle w:val="Normal"/>
        <w:autoSpaceDE w:val="false"/>
        <w:jc w:val="center"/>
        <w:rPr>
          <w:rFonts w:ascii="Arial" w:hAnsi="Arial" w:cs="Arial"/>
          <w:sz w:val="20"/>
          <w:szCs w:val="20"/>
          <w:u w:val="single"/>
        </w:rPr>
      </w:pPr>
      <w:r>
        <w:rPr>
          <w:rFonts w:cs="Arial" w:ascii="Arial" w:hAnsi="Arial"/>
          <w:sz w:val="20"/>
          <w:szCs w:val="20"/>
          <w:u w:val="single"/>
        </w:rPr>
      </w:r>
    </w:p>
    <w:p>
      <w:pPr>
        <w:pStyle w:val="Normal"/>
        <w:autoSpaceDE w:val="false"/>
        <w:jc w:val="center"/>
        <w:rPr>
          <w:rFonts w:ascii="Arial" w:hAnsi="Arial" w:cs="Arial"/>
          <w:sz w:val="20"/>
          <w:szCs w:val="20"/>
          <w:u w:val="single"/>
        </w:rPr>
      </w:pPr>
      <w:r>
        <w:rPr>
          <w:rFonts w:cs="Arial" w:ascii="Arial" w:hAnsi="Arial"/>
          <w:sz w:val="20"/>
          <w:szCs w:val="20"/>
          <w:u w:val="single"/>
        </w:rPr>
      </w:r>
    </w:p>
    <w:p>
      <w:pPr>
        <w:pStyle w:val="Normal"/>
        <w:autoSpaceDE w:val="false"/>
        <w:jc w:val="center"/>
        <w:rPr>
          <w:rFonts w:ascii="Arial" w:hAnsi="Arial" w:cs="Arial"/>
          <w:sz w:val="20"/>
          <w:szCs w:val="20"/>
          <w:u w:val="single"/>
        </w:rPr>
      </w:pPr>
      <w:r>
        <w:rPr>
          <w:rFonts w:cs="Arial" w:ascii="Arial" w:hAnsi="Arial"/>
          <w:sz w:val="20"/>
          <w:szCs w:val="20"/>
          <w:u w:val="single"/>
        </w:rPr>
        <w:t>Summary Status Report</w:t>
      </w:r>
    </w:p>
    <w:p>
      <w:pPr>
        <w:pStyle w:val="Normal"/>
        <w:autoSpaceDE w:val="false"/>
        <w:jc w:val="center"/>
        <w:rPr>
          <w:rFonts w:ascii="Arial" w:hAnsi="Arial" w:cs="Arial"/>
          <w:sz w:val="20"/>
          <w:szCs w:val="20"/>
          <w:u w:val="single"/>
        </w:rPr>
      </w:pPr>
      <w:r>
        <w:rPr>
          <w:rFonts w:cs="Arial" w:ascii="Arial" w:hAnsi="Arial"/>
          <w:sz w:val="20"/>
          <w:szCs w:val="20"/>
          <w:u w:val="single"/>
        </w:rPr>
      </w:r>
    </w:p>
    <w:tbl>
      <w:tblPr>
        <w:tblW w:w="8640" w:type="dxa"/>
        <w:jc w:val="start"/>
        <w:tblInd w:w="288" w:type="dxa"/>
        <w:tblLayout w:type="fixed"/>
        <w:tblCellMar>
          <w:top w:w="0" w:type="dxa"/>
          <w:start w:w="108" w:type="dxa"/>
          <w:bottom w:w="0" w:type="dxa"/>
          <w:end w:w="108" w:type="dxa"/>
        </w:tblCellMar>
      </w:tblPr>
      <w:tblGrid>
        <w:gridCol w:w="2664"/>
        <w:gridCol w:w="5976"/>
      </w:tblGrid>
      <w:tr>
        <w:trPr/>
        <w:tc>
          <w:tcPr>
            <w:tcW w:w="2664" w:type="dxa"/>
            <w:tcBorders>
              <w:top w:val="single" w:sz="12" w:space="0" w:color="000000"/>
              <w:start w:val="single" w:sz="12" w:space="0" w:color="000000"/>
              <w:bottom w:val="single" w:sz="12" w:space="0" w:color="000000"/>
              <w:end w:val="single" w:sz="6" w:space="0" w:color="000000"/>
            </w:tcBorders>
          </w:tcPr>
          <w:p>
            <w:pPr>
              <w:pStyle w:val="Normal"/>
              <w:autoSpaceDE w:val="false"/>
              <w:jc w:val="center"/>
              <w:rPr>
                <w:rFonts w:ascii="Arial" w:hAnsi="Arial" w:cs="Arial"/>
                <w:sz w:val="20"/>
                <w:szCs w:val="20"/>
              </w:rPr>
            </w:pPr>
            <w:r>
              <w:rPr>
                <w:rFonts w:cs="Arial" w:ascii="Arial" w:hAnsi="Arial"/>
                <w:sz w:val="20"/>
                <w:szCs w:val="20"/>
              </w:rPr>
              <w:t>Forum</w:t>
            </w:r>
          </w:p>
        </w:tc>
        <w:tc>
          <w:tcPr>
            <w:tcW w:w="5976" w:type="dxa"/>
            <w:tcBorders>
              <w:top w:val="single" w:sz="12" w:space="0" w:color="000000"/>
              <w:start w:val="single" w:sz="6" w:space="0" w:color="000000"/>
              <w:bottom w:val="single" w:sz="12" w:space="0" w:color="000000"/>
              <w:end w:val="single" w:sz="12" w:space="0" w:color="000000"/>
            </w:tcBorders>
          </w:tcPr>
          <w:p>
            <w:pPr>
              <w:pStyle w:val="Normal"/>
              <w:autoSpaceDE w:val="false"/>
              <w:jc w:val="center"/>
              <w:rPr>
                <w:rFonts w:ascii="Arial" w:hAnsi="Arial" w:cs="Arial"/>
                <w:sz w:val="20"/>
                <w:szCs w:val="20"/>
              </w:rPr>
            </w:pPr>
            <w:r>
              <w:rPr>
                <w:rFonts w:cs="Arial" w:ascii="Arial" w:hAnsi="Arial"/>
                <w:sz w:val="20"/>
                <w:szCs w:val="20"/>
              </w:rPr>
              <w:t>Status</w:t>
            </w:r>
          </w:p>
        </w:tc>
      </w:tr>
      <w:tr>
        <w:trPr/>
        <w:tc>
          <w:tcPr>
            <w:tcW w:w="2664" w:type="dxa"/>
            <w:tcBorders>
              <w:top w:val="single" w:sz="12" w:space="0" w:color="000000"/>
              <w:start w:val="single" w:sz="12" w:space="0" w:color="000000"/>
              <w:bottom w:val="single" w:sz="6" w:space="0" w:color="000000"/>
              <w:end w:val="single" w:sz="6" w:space="0" w:color="000000"/>
            </w:tcBorders>
          </w:tcPr>
          <w:p>
            <w:pPr>
              <w:pStyle w:val="Normal"/>
              <w:autoSpaceDE w:val="false"/>
              <w:jc w:val="center"/>
              <w:rPr>
                <w:rFonts w:ascii="Arial" w:hAnsi="Arial" w:cs="Arial"/>
                <w:b/>
                <w:bCs/>
                <w:sz w:val="20"/>
                <w:szCs w:val="20"/>
              </w:rPr>
            </w:pPr>
            <w:r>
              <w:rPr>
                <w:rFonts w:cs="Arial" w:ascii="Arial" w:hAnsi="Arial"/>
                <w:b/>
                <w:bCs/>
                <w:sz w:val="20"/>
                <w:szCs w:val="20"/>
              </w:rPr>
              <w:t>WUTC</w:t>
            </w:r>
          </w:p>
        </w:tc>
        <w:tc>
          <w:tcPr>
            <w:tcW w:w="5976" w:type="dxa"/>
            <w:tcBorders>
              <w:top w:val="single" w:sz="12" w:space="0" w:color="000000"/>
              <w:start w:val="single" w:sz="6" w:space="0" w:color="000000"/>
              <w:bottom w:val="single" w:sz="6" w:space="0" w:color="000000"/>
              <w:end w:val="single" w:sz="12" w:space="0" w:color="000000"/>
            </w:tcBorders>
          </w:tcPr>
          <w:p>
            <w:pPr>
              <w:pStyle w:val="Normal"/>
              <w:autoSpaceDE w:val="false"/>
              <w:rPr>
                <w:rFonts w:ascii="Arial" w:hAnsi="Arial" w:cs="Arial"/>
                <w:sz w:val="20"/>
                <w:szCs w:val="20"/>
              </w:rPr>
            </w:pPr>
            <w:r>
              <w:rPr>
                <w:rFonts w:cs="Arial" w:ascii="Arial" w:hAnsi="Arial"/>
                <w:sz w:val="20"/>
                <w:szCs w:val="20"/>
              </w:rPr>
              <w:t xml:space="preserve">11.01 meeting with Ackerman, NWN Counsel (Jamie Van Nostrand), and Staff Counsel re:  WUTC process and schedule.  Meeting with WUTC Chr. Showalter and Dodson re:  timing.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11.14 Draft WUTC application and testimony</w:t>
            </w:r>
          </w:p>
          <w:p>
            <w:pPr>
              <w:pStyle w:val="Normal"/>
              <w:autoSpaceDE w:val="false"/>
              <w:rPr>
                <w:rFonts w:ascii="Arial" w:hAnsi="Arial" w:cs="Arial"/>
                <w:sz w:val="20"/>
                <w:szCs w:val="20"/>
              </w:rPr>
            </w:pPr>
            <w:r>
              <w:rPr>
                <w:rFonts w:cs="Arial" w:ascii="Arial" w:hAnsi="Arial"/>
                <w:sz w:val="20"/>
                <w:szCs w:val="20"/>
              </w:rPr>
              <w:t>11.21  Filing date at WUTC</w:t>
            </w:r>
          </w:p>
        </w:tc>
      </w:tr>
      <w:tr>
        <w:trPr/>
        <w:tc>
          <w:tcPr>
            <w:tcW w:w="2664" w:type="dxa"/>
            <w:tcBorders>
              <w:top w:val="single" w:sz="6" w:space="0" w:color="000000"/>
              <w:start w:val="single" w:sz="12" w:space="0" w:color="000000"/>
              <w:bottom w:val="single" w:sz="6" w:space="0" w:color="000000"/>
              <w:end w:val="single" w:sz="6" w:space="0" w:color="000000"/>
            </w:tcBorders>
          </w:tcPr>
          <w:p>
            <w:pPr>
              <w:pStyle w:val="Normal"/>
              <w:autoSpaceDE w:val="false"/>
              <w:jc w:val="center"/>
              <w:rPr>
                <w:rFonts w:ascii="Arial" w:hAnsi="Arial" w:cs="Arial"/>
                <w:b/>
                <w:bCs/>
                <w:sz w:val="20"/>
                <w:szCs w:val="20"/>
              </w:rPr>
            </w:pPr>
            <w:r>
              <w:rPr>
                <w:rFonts w:cs="Arial" w:ascii="Arial" w:hAnsi="Arial"/>
                <w:b/>
                <w:bCs/>
                <w:sz w:val="20"/>
                <w:szCs w:val="20"/>
              </w:rPr>
              <w:t>OPUC</w:t>
            </w:r>
          </w:p>
        </w:tc>
        <w:tc>
          <w:tcPr>
            <w:tcW w:w="5976"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sz w:val="20"/>
                <w:szCs w:val="20"/>
              </w:rPr>
            </w:pPr>
            <w:r>
              <w:rPr>
                <w:rFonts w:cs="Arial" w:ascii="Arial" w:hAnsi="Arial"/>
                <w:sz w:val="20"/>
                <w:szCs w:val="20"/>
              </w:rPr>
              <w:t>11.5 Piro/DeBolt presentation at OPUC offices.  See update below.</w:t>
            </w:r>
          </w:p>
          <w:p>
            <w:pPr>
              <w:pStyle w:val="Normal"/>
              <w:autoSpaceDE w:val="false"/>
              <w:rPr>
                <w:rFonts w:ascii="Arial" w:hAnsi="Arial" w:cs="Arial"/>
                <w:sz w:val="20"/>
                <w:szCs w:val="20"/>
              </w:rPr>
            </w:pPr>
            <w:r>
              <w:rPr>
                <w:rFonts w:cs="Arial" w:ascii="Arial" w:hAnsi="Arial"/>
                <w:sz w:val="20"/>
                <w:szCs w:val="20"/>
              </w:rPr>
            </w:r>
          </w:p>
          <w:p>
            <w:pPr>
              <w:pStyle w:val="BodyText"/>
              <w:autoSpaceDE w:val="false"/>
              <w:rPr>
                <w:szCs w:val="20"/>
              </w:rPr>
            </w:pPr>
            <w:r>
              <w:rPr>
                <w:szCs w:val="20"/>
              </w:rPr>
              <w:t>11.9 Complete set of draft testimony, application, motions and schedule from NWN.</w:t>
            </w:r>
          </w:p>
          <w:p>
            <w:pPr>
              <w:pStyle w:val="Normal"/>
              <w:autoSpaceDE w:val="false"/>
              <w:rPr>
                <w:rFonts w:ascii="Arial" w:hAnsi="Arial" w:cs="Arial"/>
                <w:sz w:val="20"/>
                <w:szCs w:val="20"/>
              </w:rPr>
            </w:pPr>
            <w:r>
              <w:rPr>
                <w:rFonts w:cs="Arial" w:ascii="Arial" w:hAnsi="Arial"/>
                <w:sz w:val="20"/>
                <w:szCs w:val="20"/>
              </w:rPr>
              <w:t>11.11 Comments due back to NWN</w:t>
            </w:r>
          </w:p>
          <w:p>
            <w:pPr>
              <w:pStyle w:val="Normal"/>
              <w:autoSpaceDE w:val="false"/>
              <w:rPr>
                <w:rFonts w:ascii="Arial" w:hAnsi="Arial" w:cs="Arial"/>
                <w:sz w:val="20"/>
                <w:szCs w:val="20"/>
              </w:rPr>
            </w:pPr>
            <w:r>
              <w:rPr>
                <w:rFonts w:cs="Arial" w:ascii="Arial" w:hAnsi="Arial"/>
                <w:sz w:val="20"/>
                <w:szCs w:val="20"/>
              </w:rPr>
              <w:t>11.14 Filing date at OPUC</w:t>
            </w:r>
          </w:p>
          <w:p>
            <w:pPr>
              <w:pStyle w:val="Normal"/>
              <w:autoSpaceDE w:val="false"/>
              <w:rPr>
                <w:rFonts w:ascii="Arial" w:hAnsi="Arial" w:cs="Arial"/>
                <w:sz w:val="20"/>
                <w:szCs w:val="20"/>
              </w:rPr>
            </w:pPr>
            <w:r>
              <w:rPr>
                <w:rFonts w:cs="Arial" w:ascii="Arial" w:hAnsi="Arial"/>
                <w:sz w:val="20"/>
                <w:szCs w:val="20"/>
              </w:rPr>
            </w:r>
          </w:p>
        </w:tc>
      </w:tr>
      <w:tr>
        <w:trPr/>
        <w:tc>
          <w:tcPr>
            <w:tcW w:w="2664" w:type="dxa"/>
            <w:tcBorders>
              <w:top w:val="single" w:sz="6" w:space="0" w:color="000000"/>
              <w:start w:val="single" w:sz="12" w:space="0" w:color="000000"/>
              <w:bottom w:val="single" w:sz="6" w:space="0" w:color="000000"/>
              <w:end w:val="single" w:sz="6" w:space="0" w:color="000000"/>
            </w:tcBorders>
          </w:tcPr>
          <w:p>
            <w:pPr>
              <w:pStyle w:val="Normal"/>
              <w:autoSpaceDE w:val="false"/>
              <w:jc w:val="center"/>
              <w:rPr>
                <w:rFonts w:ascii="Arial" w:hAnsi="Arial" w:cs="Arial"/>
                <w:b/>
                <w:bCs/>
                <w:sz w:val="20"/>
                <w:szCs w:val="20"/>
              </w:rPr>
            </w:pPr>
            <w:r>
              <w:rPr>
                <w:rFonts w:cs="Arial" w:ascii="Arial" w:hAnsi="Arial"/>
                <w:b/>
                <w:bCs/>
                <w:sz w:val="20"/>
                <w:szCs w:val="20"/>
              </w:rPr>
              <w:t>FERC</w:t>
            </w:r>
          </w:p>
        </w:tc>
        <w:tc>
          <w:tcPr>
            <w:tcW w:w="5976"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sz w:val="20"/>
                <w:szCs w:val="20"/>
              </w:rPr>
            </w:pPr>
            <w:r>
              <w:rPr>
                <w:rFonts w:cs="Arial" w:ascii="Arial" w:hAnsi="Arial"/>
                <w:sz w:val="20"/>
                <w:szCs w:val="20"/>
              </w:rPr>
              <w:t>11.30 Filing date at FERC</w:t>
            </w:r>
          </w:p>
        </w:tc>
      </w:tr>
      <w:tr>
        <w:trPr/>
        <w:tc>
          <w:tcPr>
            <w:tcW w:w="2664" w:type="dxa"/>
            <w:tcBorders>
              <w:top w:val="single" w:sz="6" w:space="0" w:color="000000"/>
              <w:start w:val="single" w:sz="12" w:space="0" w:color="000000"/>
              <w:bottom w:val="single" w:sz="6" w:space="0" w:color="000000"/>
              <w:end w:val="single" w:sz="6" w:space="0" w:color="000000"/>
            </w:tcBorders>
          </w:tcPr>
          <w:p>
            <w:pPr>
              <w:pStyle w:val="Normal"/>
              <w:autoSpaceDE w:val="false"/>
              <w:jc w:val="center"/>
              <w:rPr>
                <w:rFonts w:ascii="Arial" w:hAnsi="Arial" w:cs="Arial"/>
                <w:b/>
                <w:bCs/>
                <w:sz w:val="20"/>
                <w:szCs w:val="20"/>
              </w:rPr>
            </w:pPr>
            <w:r>
              <w:rPr>
                <w:rFonts w:cs="Arial" w:ascii="Arial" w:hAnsi="Arial"/>
                <w:b/>
                <w:bCs/>
                <w:sz w:val="20"/>
                <w:szCs w:val="20"/>
              </w:rPr>
              <w:t>SEC</w:t>
            </w:r>
          </w:p>
        </w:tc>
        <w:tc>
          <w:tcPr>
            <w:tcW w:w="5976"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sz w:val="20"/>
                <w:szCs w:val="20"/>
              </w:rPr>
            </w:pPr>
            <w:r>
              <w:rPr>
                <w:rFonts w:cs="Arial" w:ascii="Arial" w:hAnsi="Arial"/>
                <w:sz w:val="20"/>
                <w:szCs w:val="20"/>
              </w:rPr>
              <w:t>11.6 Conference call on SEC</w:t>
            </w:r>
          </w:p>
          <w:p>
            <w:pPr>
              <w:pStyle w:val="Normal"/>
              <w:autoSpaceDE w:val="false"/>
              <w:rPr>
                <w:rFonts w:ascii="Arial" w:hAnsi="Arial" w:cs="Arial"/>
                <w:sz w:val="20"/>
                <w:szCs w:val="20"/>
              </w:rPr>
            </w:pPr>
            <w:r>
              <w:rPr>
                <w:rFonts w:cs="Arial" w:ascii="Arial" w:hAnsi="Arial"/>
                <w:sz w:val="20"/>
                <w:szCs w:val="20"/>
              </w:rPr>
              <w:t>11.14 Pre-filing meeting at SEC</w:t>
            </w:r>
          </w:p>
        </w:tc>
      </w:tr>
      <w:tr>
        <w:trPr/>
        <w:tc>
          <w:tcPr>
            <w:tcW w:w="2664" w:type="dxa"/>
            <w:tcBorders>
              <w:top w:val="single" w:sz="6" w:space="0" w:color="000000"/>
              <w:start w:val="single" w:sz="12" w:space="0" w:color="000000"/>
              <w:bottom w:val="single" w:sz="6" w:space="0" w:color="000000"/>
              <w:end w:val="single" w:sz="6" w:space="0" w:color="000000"/>
            </w:tcBorders>
          </w:tcPr>
          <w:p>
            <w:pPr>
              <w:pStyle w:val="Normal"/>
              <w:autoSpaceDE w:val="false"/>
              <w:jc w:val="center"/>
              <w:rPr>
                <w:rFonts w:ascii="Arial" w:hAnsi="Arial" w:cs="Arial"/>
                <w:b/>
                <w:bCs/>
                <w:sz w:val="20"/>
                <w:szCs w:val="20"/>
              </w:rPr>
            </w:pPr>
            <w:r>
              <w:rPr>
                <w:rFonts w:cs="Arial" w:ascii="Arial" w:hAnsi="Arial"/>
                <w:b/>
                <w:bCs/>
                <w:sz w:val="20"/>
                <w:szCs w:val="20"/>
              </w:rPr>
              <w:t>OR EFSC</w:t>
            </w:r>
          </w:p>
        </w:tc>
        <w:tc>
          <w:tcPr>
            <w:tcW w:w="5976"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sz w:val="20"/>
                <w:szCs w:val="20"/>
              </w:rPr>
            </w:pPr>
            <w:r>
              <w:rPr>
                <w:rFonts w:cs="Arial" w:ascii="Arial" w:hAnsi="Arial"/>
                <w:sz w:val="20"/>
                <w:szCs w:val="20"/>
              </w:rPr>
              <w:t>Draft will be prepared for internal review following preparation of application for OPUC.</w:t>
            </w:r>
          </w:p>
        </w:tc>
      </w:tr>
      <w:tr>
        <w:trPr/>
        <w:tc>
          <w:tcPr>
            <w:tcW w:w="2664" w:type="dxa"/>
            <w:tcBorders>
              <w:top w:val="single" w:sz="6" w:space="0" w:color="000000"/>
              <w:start w:val="single" w:sz="12" w:space="0" w:color="000000"/>
              <w:bottom w:val="single" w:sz="6" w:space="0" w:color="000000"/>
              <w:end w:val="single" w:sz="6" w:space="0" w:color="000000"/>
            </w:tcBorders>
          </w:tcPr>
          <w:p>
            <w:pPr>
              <w:pStyle w:val="Normal"/>
              <w:autoSpaceDE w:val="false"/>
              <w:jc w:val="center"/>
              <w:rPr>
                <w:rFonts w:ascii="Arial" w:hAnsi="Arial" w:cs="Arial"/>
                <w:b/>
                <w:bCs/>
                <w:sz w:val="20"/>
                <w:szCs w:val="20"/>
              </w:rPr>
            </w:pPr>
            <w:r>
              <w:rPr>
                <w:rFonts w:cs="Arial" w:ascii="Arial" w:hAnsi="Arial"/>
                <w:b/>
                <w:bCs/>
                <w:sz w:val="20"/>
                <w:szCs w:val="20"/>
              </w:rPr>
              <w:t>NRC</w:t>
            </w:r>
          </w:p>
        </w:tc>
        <w:tc>
          <w:tcPr>
            <w:tcW w:w="5976"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sz w:val="20"/>
                <w:szCs w:val="20"/>
              </w:rPr>
            </w:pPr>
            <w:r>
              <w:rPr>
                <w:rFonts w:cs="Arial" w:ascii="Arial" w:hAnsi="Arial"/>
                <w:sz w:val="20"/>
                <w:szCs w:val="20"/>
              </w:rPr>
              <w:t>Draft will be prepared for internal review following preparation of application for OPUC.</w:t>
            </w:r>
          </w:p>
        </w:tc>
      </w:tr>
      <w:tr>
        <w:trPr/>
        <w:tc>
          <w:tcPr>
            <w:tcW w:w="2664" w:type="dxa"/>
            <w:tcBorders>
              <w:top w:val="single" w:sz="6" w:space="0" w:color="000000"/>
              <w:start w:val="single" w:sz="12" w:space="0" w:color="000000"/>
              <w:bottom w:val="single" w:sz="12" w:space="0" w:color="000000"/>
              <w:end w:val="single" w:sz="6" w:space="0" w:color="000000"/>
            </w:tcBorders>
          </w:tcPr>
          <w:p>
            <w:pPr>
              <w:pStyle w:val="Normal"/>
              <w:autoSpaceDE w:val="false"/>
              <w:jc w:val="center"/>
              <w:rPr>
                <w:rFonts w:ascii="Arial" w:hAnsi="Arial" w:cs="Arial"/>
                <w:b/>
                <w:bCs/>
                <w:sz w:val="20"/>
                <w:szCs w:val="20"/>
              </w:rPr>
            </w:pPr>
            <w:r>
              <w:rPr>
                <w:rFonts w:cs="Arial" w:ascii="Arial" w:hAnsi="Arial"/>
                <w:b/>
                <w:bCs/>
                <w:sz w:val="20"/>
                <w:szCs w:val="20"/>
              </w:rPr>
              <w:t>FCC</w:t>
            </w:r>
          </w:p>
        </w:tc>
        <w:tc>
          <w:tcPr>
            <w:tcW w:w="5976" w:type="dxa"/>
            <w:tcBorders>
              <w:top w:val="single" w:sz="6" w:space="0" w:color="000000"/>
              <w:start w:val="single" w:sz="6" w:space="0" w:color="000000"/>
              <w:bottom w:val="single" w:sz="12" w:space="0" w:color="000000"/>
              <w:end w:val="single" w:sz="12" w:space="0" w:color="000000"/>
            </w:tcBorders>
          </w:tcPr>
          <w:p>
            <w:pPr>
              <w:pStyle w:val="Normal"/>
              <w:autoSpaceDE w:val="false"/>
              <w:rPr>
                <w:rFonts w:ascii="Arial" w:hAnsi="Arial" w:cs="Arial"/>
                <w:sz w:val="20"/>
                <w:szCs w:val="20"/>
              </w:rPr>
            </w:pPr>
            <w:r>
              <w:rPr>
                <w:rFonts w:cs="Arial" w:ascii="Arial" w:hAnsi="Arial"/>
                <w:sz w:val="20"/>
                <w:szCs w:val="20"/>
              </w:rPr>
              <w:t xml:space="preserve">Doug Nichols checking with Mark Holsworth re:  preparation of any filing necessary to accommodate the sale of PGE.  Either Holsworth or Nichols will contact Kristina Mordaunt re:  who is preparing filing and timing of same. </w:t>
            </w:r>
          </w:p>
        </w:tc>
      </w:tr>
    </w:tbl>
    <w:p>
      <w:pPr>
        <w:pStyle w:val="Normal"/>
        <w:autoSpaceDE w:val="false"/>
        <w:jc w:val="center"/>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jc w:val="center"/>
        <w:rPr>
          <w:rFonts w:ascii="Arial" w:hAnsi="Arial" w:cs="Arial"/>
          <w:sz w:val="20"/>
          <w:szCs w:val="20"/>
        </w:rPr>
      </w:pPr>
      <w:r>
        <w:rPr>
          <w:rFonts w:cs="Arial" w:ascii="Arial" w:hAnsi="Arial"/>
          <w:sz w:val="20"/>
          <w:szCs w:val="20"/>
          <w:u w:val="single"/>
        </w:rPr>
        <w:t>Washington Proceeding</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Morgan and Kaufman met with Van Nostrand, Ackerman and Kelley re:  schedule and issues to be litigated in Washington.  The following summarizes the meeting.  </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3"/>
        </w:numPr>
        <w:autoSpaceDE w:val="false"/>
        <w:rPr>
          <w:rFonts w:ascii="Arial" w:hAnsi="Arial" w:cs="Arial"/>
          <w:sz w:val="20"/>
          <w:szCs w:val="20"/>
        </w:rPr>
      </w:pPr>
      <w:r>
        <w:rPr>
          <w:rFonts w:cs="Arial" w:ascii="Arial" w:hAnsi="Arial"/>
          <w:sz w:val="20"/>
          <w:szCs w:val="20"/>
        </w:rPr>
        <w:t xml:space="preserve">WUTC has jurisdiction to review two matters:  (a) transfer of equity from NWN to HoldCo; and (b) issuance of debt by NWN.  </w:t>
      </w:r>
    </w:p>
    <w:p>
      <w:pPr>
        <w:pStyle w:val="Normal"/>
        <w:numPr>
          <w:ilvl w:val="0"/>
          <w:numId w:val="3"/>
        </w:numPr>
        <w:autoSpaceDE w:val="false"/>
        <w:rPr>
          <w:rFonts w:ascii="Arial" w:hAnsi="Arial" w:cs="Arial"/>
          <w:sz w:val="20"/>
          <w:szCs w:val="20"/>
        </w:rPr>
      </w:pPr>
      <w:r>
        <w:rPr>
          <w:rFonts w:cs="Arial" w:ascii="Arial" w:hAnsi="Arial"/>
          <w:sz w:val="20"/>
          <w:szCs w:val="20"/>
        </w:rPr>
        <w:t xml:space="preserve">We expect the proceeding will be narrow in scope.  Interventions will be limited by the WUTC.  WUTC requires a direct and substantial interest for intervenor status.    </w:t>
      </w:r>
    </w:p>
    <w:p>
      <w:pPr>
        <w:pStyle w:val="Normal"/>
        <w:numPr>
          <w:ilvl w:val="0"/>
          <w:numId w:val="3"/>
        </w:numPr>
        <w:autoSpaceDE w:val="false"/>
        <w:rPr>
          <w:rFonts w:ascii="Arial" w:hAnsi="Arial" w:cs="Arial"/>
          <w:sz w:val="20"/>
          <w:szCs w:val="20"/>
        </w:rPr>
      </w:pPr>
      <w:r>
        <w:rPr>
          <w:rFonts w:cs="Arial" w:ascii="Arial" w:hAnsi="Arial"/>
          <w:sz w:val="20"/>
          <w:szCs w:val="20"/>
        </w:rPr>
        <w:t>Having said that we expect interventions from Clark County PUD—which has an ongoing dispute regarding gas service to a number of small peaking plants owned by the PUD.   We expect interventions from Public Counsel, NWIGU, and one or two isolated customers.  We expect ICNU will be denied intervention.</w:t>
      </w:r>
    </w:p>
    <w:p>
      <w:pPr>
        <w:pStyle w:val="Normal"/>
        <w:autoSpaceDE w:val="false"/>
        <w:ind w:start="360" w:end="0"/>
        <w:rPr>
          <w:rFonts w:ascii="Arial" w:hAnsi="Arial" w:cs="Arial"/>
          <w:sz w:val="20"/>
          <w:szCs w:val="20"/>
        </w:rPr>
      </w:pPr>
      <w:r>
        <w:rPr>
          <w:rFonts w:cs="Arial" w:ascii="Arial" w:hAnsi="Arial"/>
          <w:sz w:val="20"/>
          <w:szCs w:val="20"/>
        </w:rPr>
      </w:r>
    </w:p>
    <w:p>
      <w:pPr>
        <w:pStyle w:val="BodyText"/>
        <w:autoSpaceDE w:val="false"/>
        <w:rPr>
          <w:szCs w:val="20"/>
        </w:rPr>
      </w:pPr>
      <w:r>
        <w:rPr>
          <w:szCs w:val="20"/>
        </w:rPr>
        <w:t>Ackerman and Van Nostrand met with Staff Counsel at the WUTC.  Ackerman reported that the discussion went well and there was agreement re:  limited scope and support for expediting the schedule.  Ackerman also reported that Dodson’s meeting with Chr. Showalter produced a similar agreement on expediting the schedule.</w:t>
      </w:r>
    </w:p>
    <w:p>
      <w:pPr>
        <w:pStyle w:val="Normal"/>
        <w:autoSpaceDE w:val="false"/>
        <w:ind w:start="360" w:end="0"/>
        <w:rPr>
          <w:rFonts w:ascii="Arial" w:hAnsi="Arial" w:cs="Arial"/>
          <w:sz w:val="20"/>
          <w:szCs w:val="20"/>
        </w:rPr>
      </w:pPr>
      <w:r>
        <w:rPr>
          <w:rFonts w:cs="Arial" w:ascii="Arial" w:hAnsi="Arial"/>
          <w:sz w:val="20"/>
          <w:szCs w:val="20"/>
        </w:rPr>
      </w:r>
    </w:p>
    <w:p>
      <w:pPr>
        <w:pStyle w:val="BodyText"/>
        <w:autoSpaceDE w:val="false"/>
        <w:rPr/>
      </w:pPr>
      <w:r>
        <w:rPr/>
        <w:t>Note that the WUTC sees fewer settlements than the OPUC and is not comfortable with partial settlements (i.e., settlements that don’t involve all issues and all parties).  NWN will propose formal settlement conferences as part of the Washington schedule.</w:t>
      </w:r>
    </w:p>
    <w:p>
      <w:pPr>
        <w:pStyle w:val="Normal"/>
        <w:autoSpaceDE w:val="false"/>
        <w:ind w:start="360" w:end="0"/>
        <w:rPr>
          <w:rFonts w:ascii="Arial" w:hAnsi="Arial" w:cs="Arial"/>
          <w:sz w:val="20"/>
        </w:rPr>
      </w:pPr>
      <w:r>
        <w:rPr>
          <w:rFonts w:cs="Arial" w:ascii="Arial" w:hAnsi="Arial"/>
          <w:sz w:val="20"/>
        </w:rPr>
      </w:r>
    </w:p>
    <w:p>
      <w:pPr>
        <w:pStyle w:val="BodyText"/>
        <w:rPr/>
      </w:pPr>
      <w:r>
        <w:rPr/>
        <w:t xml:space="preserve">The WUTC has approved the last four mergers in Washington under a no harm standard.  The mergers have generally been approved subject to conditions involving:   (1) a rate plan, and (2) service quality measures.  The rate plan typically involves a rate freeze for a number of years (or, in Puget's case, a "rate stability plan" involving small rate increases).   The service quality measures involve customer performance standards, and the payment of penalties in the event the utility fails to meet the standards.  In the case of Puget Sound Energy and ScottishPower, these plans involved payments directly to customers under "customer guarantees" in addition to penalties assessed against the Company for failure to meet broader standards.   </w:t>
      </w:r>
    </w:p>
    <w:p>
      <w:pPr>
        <w:pStyle w:val="BodyText"/>
        <w:rPr/>
      </w:pPr>
      <w:r>
        <w:rPr/>
      </w:r>
    </w:p>
    <w:p>
      <w:pPr>
        <w:pStyle w:val="BodyText"/>
        <w:rPr>
          <w:rFonts w:eastAsia="Arial Unicode MS"/>
        </w:rPr>
      </w:pPr>
      <w:r>
        <w:rPr>
          <w:rFonts w:eastAsia="Arial Unicode MS"/>
        </w:rPr>
        <w:t xml:space="preserve">Neither PGE nor NWN are willing to propose penalties if they violate the service quality measures.  NWN believes that a rate plan will not be needed in Washington as they recently completed a rate case—which resolved a number of interstate allocation issues.  </w:t>
      </w:r>
    </w:p>
    <w:p>
      <w:pPr>
        <w:pStyle w:val="Normal"/>
        <w:rPr>
          <w:rFonts w:ascii="Arial" w:hAnsi="Arial" w:cs="Arial"/>
          <w:sz w:val="20"/>
        </w:rPr>
      </w:pPr>
      <w:r>
        <w:rPr>
          <w:rFonts w:cs="Arial" w:ascii="Arial" w:hAnsi="Arial"/>
          <w:sz w:val="20"/>
        </w:rPr>
        <w:t> </w:t>
      </w:r>
    </w:p>
    <w:p>
      <w:pPr>
        <w:pStyle w:val="Heading2"/>
        <w:ind w:hanging="0" w:start="0"/>
        <w:rPr/>
      </w:pPr>
      <w:r>
        <w:rPr/>
        <w:t>Oregon Proceeding</w:t>
      </w:r>
    </w:p>
    <w:p>
      <w:pPr>
        <w:pStyle w:val="Normal"/>
        <w:rPr>
          <w:rFonts w:ascii="Arial" w:hAnsi="Arial" w:cs="Arial"/>
          <w:sz w:val="20"/>
        </w:rPr>
      </w:pPr>
      <w:r>
        <w:rPr>
          <w:rFonts w:cs="Arial" w:ascii="Arial" w:hAnsi="Arial"/>
          <w:sz w:val="20"/>
        </w:rPr>
      </w:r>
    </w:p>
    <w:p>
      <w:pPr>
        <w:pStyle w:val="BodyText"/>
        <w:rPr/>
      </w:pPr>
      <w:r>
        <w:rPr/>
        <w:t>On November 5, DeBolt presented the financial plan for the sale to OPUC staff and intervenors.   Attending for Enron/PGE/NWN were Kaufman, Morgan, Lesh, Piro, Fell, and Ackerman.   For OPUC staff:  Helman, Conway, Nyegaard and Thomas Morgan.  For ICNU:  Melinda Davidson (counsel).  For NWIGU:  Pyron and Finklea (counsel).  For CUB:  Jenks.</w:t>
      </w:r>
    </w:p>
    <w:p>
      <w:pPr>
        <w:pStyle w:val="BodyText"/>
        <w:rPr/>
      </w:pPr>
      <w:r>
        <w:rPr/>
      </w:r>
    </w:p>
    <w:p>
      <w:pPr>
        <w:pStyle w:val="BodyText"/>
        <w:rPr/>
      </w:pPr>
      <w:r>
        <w:rPr>
          <w:u w:val="single"/>
        </w:rPr>
        <w:t>Overall Observations</w:t>
      </w:r>
      <w:r>
        <w:rPr/>
        <w:t>.  The meeting went exceedingly well.  Staff’s comments indicate that they understand the OPUC’s standard for review of the transaction.  At the close of the session, Nyegaard said:  (a) the transaction looks cleaner than all the others; and “one dollar” is sufficient to show net benefits.  Helman made a number of comments regarding schedule—reflecting an understanding of the “need for speed.”  ICNU and NWIGU were more or less subdued during the meeting—although they raised a number of questions.  CUB was similarly subdued.  CUB’s questions were in the nature of clarification.   We can expect the parties reactions to intensify once the application and testimony is filed and the formal process begins.  The focus remains rates and rate credits.</w:t>
      </w:r>
    </w:p>
    <w:p>
      <w:pPr>
        <w:pStyle w:val="BodyText"/>
        <w:rPr/>
      </w:pPr>
      <w:r>
        <w:rPr/>
      </w:r>
    </w:p>
    <w:p>
      <w:pPr>
        <w:pStyle w:val="BodyText"/>
        <w:rPr/>
      </w:pPr>
      <w:r>
        <w:rPr/>
        <w:t>The discussion is summarized below.  I have not summarized the formal presentation, which has been forwarded under separate cover.  Key comments are in bold.</w:t>
      </w:r>
    </w:p>
    <w:p>
      <w:pPr>
        <w:pStyle w:val="BodyText"/>
        <w:rPr/>
      </w:pPr>
      <w:r>
        <w:rPr/>
      </w:r>
    </w:p>
    <w:p>
      <w:pPr>
        <w:pStyle w:val="BodyText"/>
        <w:numPr>
          <w:ilvl w:val="0"/>
          <w:numId w:val="2"/>
        </w:numPr>
        <w:rPr/>
      </w:pPr>
      <w:r>
        <w:rPr/>
        <w:t>Nyegaard asked about the use of HoldCo’s debt.  DeBolt said that HoldCo had no plans to enter into any other businesses and that the debt would be used sole to provide cash for the purchase.</w:t>
      </w:r>
    </w:p>
    <w:p>
      <w:pPr>
        <w:pStyle w:val="BodyText"/>
        <w:numPr>
          <w:ilvl w:val="0"/>
          <w:numId w:val="2"/>
        </w:numPr>
        <w:rPr/>
      </w:pPr>
      <w:r>
        <w:rPr/>
        <w:t xml:space="preserve">In response to DeBolt’s description of the corporate structure, Davidson asked why NWN wasn’t merging PGE into NWN (as Puget did with Washington Natural).  DeBolt said: (a) they had completed a poll and customers were happy with NWN and PGE “brands”;  and (b) Puget decided to outsource many of its key activities—NWN hasn’t made a decision re:  outsourcing.  Morgan augmented the response by saying that sometimes-pure mergers (in contrast to other consolidations) don’t occur because the risk profiles of the merging companies are different. </w:t>
      </w:r>
    </w:p>
    <w:p>
      <w:pPr>
        <w:pStyle w:val="BodyText"/>
        <w:numPr>
          <w:ilvl w:val="0"/>
          <w:numId w:val="2"/>
        </w:numPr>
        <w:rPr/>
      </w:pPr>
      <w:r>
        <w:rPr/>
        <w:t xml:space="preserve">In reviewing the slide on customer “value,” DeBolt said that “marketing will change,” “orientation will be as a consultant to customers.”  DeBolt also said that NWN and PGE will “not be openly competitive.”  </w:t>
      </w:r>
    </w:p>
    <w:p>
      <w:pPr>
        <w:pStyle w:val="BodyText"/>
        <w:numPr>
          <w:ilvl w:val="0"/>
          <w:numId w:val="2"/>
        </w:numPr>
        <w:rPr/>
      </w:pPr>
      <w:r>
        <w:rPr/>
        <w:t xml:space="preserve">Davidson ran asked whether NWN would seek a rate increase to shore up credit ratings.  </w:t>
      </w:r>
      <w:r>
        <w:rPr>
          <w:b/>
          <w:bCs/>
        </w:rPr>
        <w:t>DeBolt said that this transaction does not need a rate increase to support the financial plan or the projected increases in credit ratings.</w:t>
      </w:r>
      <w:r>
        <w:rPr/>
        <w:t xml:space="preserve">  He was very clear on this point.</w:t>
      </w:r>
    </w:p>
    <w:p>
      <w:pPr>
        <w:pStyle w:val="BodyText"/>
        <w:numPr>
          <w:ilvl w:val="0"/>
          <w:numId w:val="2"/>
        </w:numPr>
        <w:rPr/>
      </w:pPr>
      <w:r>
        <w:rPr/>
        <w:t>After a discussion of the plan to renegotiate revolvers for PGE and NWN, Helman asked who gets money first, the banks holding the note on the revolver or HoldCo.  DeBolt answered:  the banks holding revolvers.</w:t>
      </w:r>
    </w:p>
    <w:p>
      <w:pPr>
        <w:pStyle w:val="BodyText"/>
        <w:numPr>
          <w:ilvl w:val="0"/>
          <w:numId w:val="2"/>
        </w:numPr>
        <w:rPr/>
      </w:pPr>
      <w:r>
        <w:rPr/>
        <w:t xml:space="preserve">Also re:  the revolvers.  DeBolt confirmed that NWN’s current revolver is for $150 million.  PGE’s current revolver is $450 million.  Both have terms of less than one year.  Fell noted that NWN would seek approval in its application for the new revolvers—because the new revolvers are for a term greater than 12 months.  </w:t>
      </w:r>
    </w:p>
    <w:p>
      <w:pPr>
        <w:pStyle w:val="BodyText"/>
        <w:numPr>
          <w:ilvl w:val="0"/>
          <w:numId w:val="2"/>
        </w:numPr>
        <w:rPr/>
      </w:pPr>
      <w:r>
        <w:rPr/>
        <w:t xml:space="preserve">DeBolt stated that NWN and PGE are seeking a 5 year term for the new revolvers.  In response to a question, DeBolt stated that the longer term allows NWN to complete “major” projects such as the Mist pipeline without having to renew lines of credit mid-project.  </w:t>
      </w:r>
    </w:p>
    <w:p>
      <w:pPr>
        <w:pStyle w:val="BodyText"/>
        <w:numPr>
          <w:ilvl w:val="0"/>
          <w:numId w:val="2"/>
        </w:numPr>
        <w:rPr/>
      </w:pPr>
      <w:r>
        <w:rPr/>
        <w:t>Nyegaard asked about the affect of changes in interest rates.  DeBolt stated that NWN has interest rate risk.  He then emphasized the importance of getting the deal done quickly.  He said that if interest rates go “haywire” it is possible that the banks will pull out.</w:t>
      </w:r>
    </w:p>
    <w:p>
      <w:pPr>
        <w:pStyle w:val="BodyText"/>
        <w:numPr>
          <w:ilvl w:val="0"/>
          <w:numId w:val="2"/>
        </w:numPr>
        <w:rPr/>
      </w:pPr>
      <w:r>
        <w:rPr/>
        <w:t>In the context of a discussion concerning the consolidation of NWN and PGE call centers, Helman asked whether the holding company or operating companies would provide consolidated services.   Ackerman responded that NWN would file a master services agreement.</w:t>
      </w:r>
    </w:p>
    <w:p>
      <w:pPr>
        <w:pStyle w:val="BodyText"/>
        <w:numPr>
          <w:ilvl w:val="0"/>
          <w:numId w:val="2"/>
        </w:numPr>
        <w:rPr>
          <w:b/>
          <w:bCs/>
        </w:rPr>
      </w:pPr>
      <w:r>
        <w:rPr>
          <w:b/>
          <w:bCs/>
        </w:rPr>
        <w:t>DeBolt then moved to a discussion of the rate plan.  He stated that NWN and PGE had mechanisms in place that would pass through benefits of gas management/procurement through to customers.  He made clear that gas management/procurement savings were not included in the synergies analysis.</w:t>
      </w:r>
    </w:p>
    <w:p>
      <w:pPr>
        <w:pStyle w:val="BodyText"/>
        <w:numPr>
          <w:ilvl w:val="0"/>
          <w:numId w:val="2"/>
        </w:numPr>
        <w:rPr/>
      </w:pPr>
      <w:r>
        <w:rPr/>
        <w:t>In response to DeBolt’s comments re:  no rate increases and the assumption that existing rates remain in place, Jenks asked whether that mean that customers had to give up reductions in costs resulting from customer service investments approved in the most recent PGE case—e.g., internet customer service.  Lesh responded that these investments were designed to avoid rate increases, but didn’t guarantee a rate decrease.</w:t>
      </w:r>
    </w:p>
    <w:p>
      <w:pPr>
        <w:pStyle w:val="BodyText"/>
        <w:numPr>
          <w:ilvl w:val="0"/>
          <w:numId w:val="2"/>
        </w:numPr>
        <w:rPr>
          <w:b/>
          <w:bCs/>
        </w:rPr>
      </w:pPr>
      <w:r>
        <w:rPr>
          <w:b/>
          <w:bCs/>
        </w:rPr>
        <w:t>DeBolt then discussed the importance of the Financial Plan—i.e., that it wasn’t a simple model, and that it formed the basis for the financing commitments.  As part of that discussion he stated that the first 6 years were the critical years for the plan.  He also stated that the Financial Plan assumed limited savings being returned to ratepayers.  He then referenced the slide in the presentation that states there are approximately $30 million/year in synergies and that the model assumes that over 6 years $31.5 million are returned to ratepayers.</w:t>
      </w:r>
    </w:p>
    <w:p>
      <w:pPr>
        <w:pStyle w:val="BodyText"/>
        <w:numPr>
          <w:ilvl w:val="0"/>
          <w:numId w:val="2"/>
        </w:numPr>
        <w:rPr/>
      </w:pPr>
      <w:r>
        <w:rPr>
          <w:b/>
          <w:bCs/>
        </w:rPr>
        <w:t>DeBolt went on to say that NWN had considered two basic models for providing ratepayer benefits:  (1) a rate freeze for 5-6 years and then a return of 100% of the synergies; and (2) some return of benefits to ratepayers from year 1.  He then stated the benefits are small in years 1-6.  In response to questions, he identified the savings assumed in the model for years 1-3.  DeBolt also stated that the parties “shouldn’t be surprised” if NWN proposes a deferral mechanism if earnings/savings did not materialize.</w:t>
      </w:r>
    </w:p>
    <w:p>
      <w:pPr>
        <w:pStyle w:val="BodyText"/>
        <w:numPr>
          <w:ilvl w:val="0"/>
          <w:numId w:val="2"/>
        </w:numPr>
        <w:rPr>
          <w:b/>
          <w:bCs/>
        </w:rPr>
      </w:pPr>
      <w:r>
        <w:rPr>
          <w:b/>
          <w:bCs/>
        </w:rPr>
        <w:t xml:space="preserve">Jenks then asked if the NWN ROE/sharing mechanism would remain in place.  DeBolt stated that it would remain in place and that NWN wanted to discuss a similar mechanism for PGE.  </w:t>
      </w:r>
    </w:p>
    <w:p>
      <w:pPr>
        <w:pStyle w:val="BodyText"/>
        <w:numPr>
          <w:ilvl w:val="0"/>
          <w:numId w:val="2"/>
        </w:numPr>
        <w:rPr>
          <w:b/>
          <w:bCs/>
        </w:rPr>
      </w:pPr>
      <w:r>
        <w:rPr>
          <w:b/>
          <w:bCs/>
        </w:rPr>
        <w:t>In response to Jenks, Helman stated that the OPUC’s standard is “are customer’s better off” and not “have we captured all the savings.  Jenks did not disagree and stated that his questions were to clarify NWN’s ideas.</w:t>
      </w:r>
    </w:p>
    <w:p>
      <w:pPr>
        <w:pStyle w:val="BodyText"/>
        <w:numPr>
          <w:ilvl w:val="0"/>
          <w:numId w:val="2"/>
        </w:numPr>
        <w:rPr/>
      </w:pPr>
      <w:r>
        <w:rPr/>
        <w:t xml:space="preserve">Conway asked whether NWN was proposing to have simultaneous rate cases for PGE and NWN.   Then Helman asked if DeBolt’s rate plan discussion also applied to NWN.  DeBolt replied that the credits were to be shared between NWN and PGE customers, but that the rate freeze did not address NWN.  </w:t>
      </w:r>
    </w:p>
    <w:p>
      <w:pPr>
        <w:pStyle w:val="BodyText"/>
        <w:numPr>
          <w:ilvl w:val="0"/>
          <w:numId w:val="2"/>
        </w:numPr>
        <w:rPr/>
      </w:pPr>
      <w:r>
        <w:rPr/>
        <w:t>Finklea asked how much debt would be repaid by year 6.</w:t>
      </w:r>
    </w:p>
    <w:p>
      <w:pPr>
        <w:pStyle w:val="BodyText"/>
        <w:numPr>
          <w:ilvl w:val="0"/>
          <w:numId w:val="2"/>
        </w:numPr>
        <w:rPr/>
      </w:pPr>
      <w:r>
        <w:rPr/>
        <w:t xml:space="preserve">DeBolt talked about the “ring fence” 48% equity condition.  He stated that NWN would propose to maintain that condition for PGE, but that they needed to discuss how to apply that for NWN—given the lumpiness of NWN’s earnings.  </w:t>
      </w:r>
    </w:p>
    <w:p>
      <w:pPr>
        <w:pStyle w:val="BodyText"/>
        <w:numPr>
          <w:ilvl w:val="0"/>
          <w:numId w:val="2"/>
        </w:numPr>
        <w:rPr/>
      </w:pPr>
      <w:r>
        <w:rPr/>
        <w:t>DeBolt concluded by talking about the financing slide.  There were few questions on the slide; however, Helman did ask about 2004.  In 2004, the slide shows that dividends up to HoldCo are less than interest and principal costs.  DeBolt pointed out that the dividend bar on the chart was pre-tax effect and that once tax effects were taken into account, the dividend was sufficient to cover the costs of the transaction.</w:t>
      </w:r>
    </w:p>
    <w:p>
      <w:pPr>
        <w:pStyle w:val="BodyText"/>
        <w:numPr>
          <w:ilvl w:val="0"/>
          <w:numId w:val="2"/>
        </w:numPr>
        <w:rPr>
          <w:b/>
          <w:bCs/>
        </w:rPr>
      </w:pPr>
      <w:r>
        <w:rPr/>
        <w:t xml:space="preserve">After the conclusion of DeBolt’s presentation that was a brief discussion of schedule.  We then discussed the “Enron Investment” document.  </w:t>
      </w:r>
      <w:r>
        <w:rPr>
          <w:b/>
          <w:bCs/>
        </w:rPr>
        <w:t>At the outset of this discussion, Jenks asked whether Enron’s current woes would affect the transaction in any way.  I responded as follows:  (a) Enron is committed to selling PGE; (b) Enron is committed to this transaction; (c) Enron’s current woes do not affect the transaction in any way; (d) if there are additional downgrades, Enron’s ability to transfer some of the securities to affiliated entities might be affected (but this is three or four steps away from the transaction itself).  If there are any limitations on transfer of the securities, then Enron can simply hold the securities at the corporate level.  DeBolt added that there is no effect on the transaction, because NWN is the issuing party not Enron.</w:t>
      </w:r>
    </w:p>
    <w:p>
      <w:pPr>
        <w:pStyle w:val="BodyText"/>
        <w:numPr>
          <w:ilvl w:val="0"/>
          <w:numId w:val="2"/>
        </w:numPr>
        <w:rPr/>
      </w:pPr>
      <w:r>
        <w:rPr/>
        <w:t xml:space="preserve">I summarized the Enron Investment document by stating:  (a) the document is a summary of certain provisions of the shareholders agreement and the stock purchase agreement—both of which will be filed with the OPUC; (b) the provisions summarized can be broken down to provisions that:  protect the credit rating of NWN, protect NWN’s value; and limit Enron’s rights to avoid any affiliation issues with either NWN or PGE.   There were no questions after the presentation.  </w:t>
      </w:r>
    </w:p>
    <w:p>
      <w:pPr>
        <w:pStyle w:val="BodyText"/>
        <w:rPr/>
      </w:pPr>
      <w:r>
        <w:rPr/>
      </w:r>
    </w:p>
    <w:p>
      <w:pPr>
        <w:pStyle w:val="BodyText"/>
        <w:jc w:val="center"/>
        <w:rPr>
          <w:u w:val="single"/>
        </w:rPr>
      </w:pPr>
      <w:r>
        <w:rPr>
          <w:u w:val="single"/>
        </w:rPr>
        <w:t>Other Observations</w:t>
      </w:r>
    </w:p>
    <w:p>
      <w:pPr>
        <w:pStyle w:val="BodyText"/>
        <w:rPr/>
      </w:pPr>
      <w:r>
        <w:rPr/>
      </w:r>
    </w:p>
    <w:p>
      <w:pPr>
        <w:pStyle w:val="BodyText"/>
        <w:rPr/>
      </w:pPr>
      <w:r>
        <w:rPr/>
        <w:t xml:space="preserve">NWN may be considering a general rate case for the purposes of recovering the Mist 4/5 investment.  Apparently Mist 4/5 is now necessary to serve native load.  In a conversation today, Mark Dodson assured me that NWN had not reached a final decision on a rate case and that NWN is considering project finance for the investment.  He committed to brief Mark Metts before making a final decision on the rate case.   In the 11.5 OPUC discussion, NWN did not commit to a rate case.  We can expect NWN to leave this issue open in their OPUC application.  </w:t>
      </w:r>
    </w:p>
    <w:p>
      <w:pPr>
        <w:pStyle w:val="BodyText"/>
        <w:rPr/>
      </w:pPr>
      <w:r>
        <w:rPr/>
      </w:r>
    </w:p>
    <w:p>
      <w:pPr>
        <w:pStyle w:val="BodyText"/>
        <w:jc w:val="center"/>
        <w:rPr>
          <w:u w:val="single"/>
        </w:rPr>
      </w:pPr>
      <w:r>
        <w:rPr>
          <w:u w:val="single"/>
        </w:rPr>
        <w:t>FERC</w:t>
      </w:r>
    </w:p>
    <w:p>
      <w:pPr>
        <w:pStyle w:val="BodyText"/>
        <w:jc w:val="center"/>
        <w:rPr/>
      </w:pPr>
      <w:r>
        <w:rPr/>
      </w:r>
    </w:p>
    <w:p>
      <w:pPr>
        <w:pStyle w:val="BodyText"/>
        <w:rPr/>
      </w:pPr>
      <w:r>
        <w:rPr/>
        <w:t xml:space="preserve">At our pre-filing meeting with FERC, Mike Coleman asked whether any stock/debt issuance associated with the transaction is subject to FERC approval.  According to Adam Wenner:  FERC approval is not necessary for the issuance of equity/debt by either HoldCo or PGE.  PGE will renew a revolving line of credit—but it is subject to state review and approval.  </w:t>
      </w:r>
    </w:p>
    <w:p>
      <w:pPr>
        <w:pStyle w:val="BodyText"/>
        <w:rPr/>
      </w:pPr>
      <w:r>
        <w:rPr/>
      </w:r>
    </w:p>
    <w:p>
      <w:pPr>
        <w:pStyle w:val="BodyText"/>
        <w:rPr/>
      </w:pPr>
      <w:r>
        <w:rPr/>
        <w:t>We received a call from the City of Glendale City Attorney’s office re:  when we intend to file in Oregon.  I conveyed the intended scheduled for filing at the OPUC, WUTC, and FERC.  Glendale is PGE’s only long-term firm power customer.</w:t>
      </w:r>
    </w:p>
    <w:p>
      <w:pPr>
        <w:pStyle w:val="BodyText"/>
        <w:rPr/>
      </w:pPr>
      <w:r>
        <w:rPr/>
      </w:r>
    </w:p>
    <w:p>
      <w:pPr>
        <w:pStyle w:val="BodyText"/>
        <w:jc w:val="center"/>
        <w:rPr/>
      </w:pPr>
      <w:r>
        <w:rPr/>
        <w:t>^^^</w:t>
      </w:r>
    </w:p>
    <w:p>
      <w:pPr>
        <w:pStyle w:val="BodyText"/>
        <w:autoSpaceDE w:val="false"/>
        <w:rPr>
          <w:szCs w:val="20"/>
        </w:rPr>
      </w:pPr>
      <w:r>
        <w:rPr>
          <w:szCs w:val="20"/>
        </w:rPr>
      </w:r>
    </w:p>
    <w:p>
      <w:pPr>
        <w:pStyle w:val="BodyText"/>
        <w:autoSpaceDE w:val="false"/>
        <w:rPr>
          <w:szCs w:val="20"/>
        </w:rPr>
      </w:pPr>
      <w:r>
        <w:rPr>
          <w:szCs w:val="20"/>
        </w:rPr>
        <w:t xml:space="preserve">Please contact me with any questions concerning this update.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rPr>
    </w:pPr>
    <w:r>
      <w:rPr>
        <w:b/>
        <w:bCs/>
      </w:rPr>
      <w:t xml:space="preserve">CONFIDENTIAL </w:t>
    </w:r>
  </w:p>
  <w:p>
    <w:pPr>
      <w:pStyle w:val="Footer"/>
      <w:rPr/>
    </w:pPr>
    <w:r>
      <w:rPr/>
      <w:t xml:space="preserve">Page </w:t>
    </w:r>
    <w:r>
      <w:rPr/>
      <w:fldChar w:fldCharType="begin"/>
    </w:r>
    <w:r>
      <w:rPr/>
      <w:instrText xml:space="preserve"> PAGE </w:instrText>
    </w:r>
    <w:r>
      <w:rPr/>
      <w:fldChar w:fldCharType="separate"/>
    </w:r>
    <w:r>
      <w:rPr/>
      <w:t>4</w:t>
    </w:r>
    <w:r>
      <w:rPr/>
      <w:fldChar w:fldCharType="end"/>
    </w:r>
    <w:r>
      <w:rPr/>
      <w:t xml:space="preserve"> of </w:t>
    </w:r>
    <w:r>
      <w:rPr/>
      <w:fldChar w:fldCharType="begin"/>
    </w:r>
    <w:r>
      <w:rPr/>
      <w:instrText xml:space="preserve"> NUMPAGES \* ARABIC </w:instrText>
    </w:r>
    <w:r>
      <w:rPr/>
      <w:fldChar w:fldCharType="separate"/>
    </w:r>
    <w:r>
      <w:rPr/>
      <w:t>4</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sz w:val="20"/>
      <w:szCs w:val="20"/>
      <w:u w:val="single"/>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sz w:val="20"/>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1">
    <w:name w:val="WW8Num3z1"/>
    <w:qFormat/>
    <w:rPr>
      <w:u w:val="single"/>
    </w:rPr>
  </w:style>
  <w:style w:type="character" w:styleId="DefaultParagraphFont">
    <w:name w:val="Default Paragraph Font"/>
    <w:qFormat/>
    <w:rPr/>
  </w:style>
  <w:style w:type="paragraph" w:styleId="Heading">
    <w:name w:val="Heading"/>
    <w:basedOn w:val="Normal"/>
    <w:next w:val="BodyText"/>
    <w:qFormat/>
    <w:pPr>
      <w:autoSpaceDE w:val="false"/>
      <w:jc w:val="center"/>
    </w:pPr>
    <w:rPr>
      <w:rFonts w:ascii="Arial" w:hAnsi="Arial" w:cs="Arial"/>
      <w:b/>
      <w:bCs/>
      <w:szCs w:val="20"/>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2001-11-06T17:47:00Z</dcterms:created>
  <dc:creator>pkaufma</dc:creator>
  <dc:description/>
  <dc:language>en-CA</dc:language>
  <cp:lastModifiedBy>pkaufma</cp:lastModifiedBy>
  <dcterms:modified xsi:type="dcterms:W3CDTF">2001-11-06T20:56:00Z</dcterms:modified>
  <cp:revision>8</cp:revision>
  <dc:subject/>
  <dc:title>Tahoe Update</dc:title>
</cp:coreProperties>
</file>