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bookmarkStart w:id="0" w:name="MemorandumTo"/>
      <w:r>
        <w:rPr/>
        <w:t>Memorandum to</w:t>
      </w:r>
      <w:bookmarkEnd w:id="0"/>
      <w:r>
        <w:rPr/>
        <w:t>:</w:t>
        <w:br/>
      </w:r>
      <w:bookmarkStart w:id="1" w:name="Addressee"/>
      <w:bookmarkEnd w:id="1"/>
      <w:r>
        <w:rPr/>
        <w:t>Sally Beck, Managing Director, Enron NetWorks</w:t>
        <w:br/>
        <w:t>Greg Piper, President and CEO, Enron NetWorks</w:t>
      </w:r>
    </w:p>
    <w:p>
      <w:pPr>
        <w:pStyle w:val="30documenttitle"/>
        <w:rPr/>
      </w:pPr>
      <w:bookmarkStart w:id="2" w:name="MemoTitle"/>
      <w:bookmarkEnd w:id="2"/>
      <w:r>
        <w:rPr/>
        <w:t>Sizing the Back-office Outsourcing Opportunity</w:t>
      </w:r>
    </w:p>
    <w:p>
      <w:pPr>
        <w:pStyle w:val="31subtitle"/>
        <w:rPr/>
      </w:pPr>
      <w:bookmarkStart w:id="3" w:name="Company"/>
      <w:bookmarkEnd w:id="3"/>
      <w:r>
        <w:rPr/>
        <w:t>Enron NetWorks</w:t>
      </w:r>
    </w:p>
    <w:p>
      <w:pPr>
        <w:pStyle w:val="Normal"/>
        <w:rPr/>
      </w:pPr>
      <w:bookmarkStart w:id="4" w:name="MemoDate"/>
      <w:bookmarkStart w:id="5" w:name="Start"/>
      <w:bookmarkEnd w:id="4"/>
      <w:bookmarkEnd w:id="5"/>
      <w:r>
        <w:rPr/>
        <w:t>Thank you again for taking the time to meet with us again on Thursday.  We enjoyed the opportunity to share perspectives on ways to leverage Enron’s systems capabilities to launch new growth businesses.  We remain extremely optimistic about the potential a back-office outsourcing /corresponding clearing model presents for NetWorks, and Enron more broadly.  Other industries have been able to leverage the types of capabilities that Enron is thinking about leveraging to build significant businesses.  A clear example we shared with you during our meeting is the corresponding clearing/prime brokerage models in the financial sector.  If there is a similar opportunity that exists in the energy sector, the size of the prize could prove to be significant.  Thus, we believe it is worthwhile to investigate the opportunity and assess how large the prize could be.</w:t>
      </w:r>
    </w:p>
    <w:p>
      <w:pPr>
        <w:pStyle w:val="Normal"/>
        <w:rPr/>
      </w:pPr>
      <w:r>
        <w:rPr/>
        <w:t xml:space="preserve">During our discussion, you expressed a similar perspective.  Given the limited resources available and the portfolio of activities you have underway, prioritizing this initiative requires a better understanding of the business potential.  Specifically, you have asked us to share with you a potential approach to support you in sizing the overall market opportunity, the likely share that Enron could capture, and the potential return to Enron.  The remainder of this memo describes proposed objectives, specific activities we would undertake, and working arrangements.  </w:t>
      </w:r>
    </w:p>
    <w:p>
      <w:pPr>
        <w:pStyle w:val="20major"/>
        <w:rPr/>
      </w:pPr>
      <w:r>
        <w:rPr/>
        <w:t>Objectives</w:t>
      </w:r>
    </w:p>
    <w:p>
      <w:pPr>
        <w:pStyle w:val="Normal"/>
        <w:rPr/>
      </w:pPr>
      <w:r>
        <w:rPr/>
        <w:t>Clearly, understanding the profit potential for this business opportunity will determine the level of commitment and urgency that you assign to it.  As a result, it is our understanding that the objectives of the proposed effort are:</w:t>
      </w:r>
    </w:p>
    <w:p>
      <w:pPr>
        <w:pStyle w:val="05number1"/>
        <w:rPr/>
      </w:pPr>
      <w:r>
        <w:rPr/>
        <w:t>1.</w:t>
        <w:tab/>
        <w:t>Develop a fact-based sizing of the potential market for back-office outsourcing/corresponding clearing services in the energy markets</w:t>
      </w:r>
    </w:p>
    <w:p>
      <w:pPr>
        <w:pStyle w:val="05number1"/>
        <w:rPr/>
      </w:pPr>
      <w:r>
        <w:rPr/>
        <w:t>2.</w:t>
        <w:tab/>
        <w:t>Estimate the likely share of the overall opportunity that Enron is likely to be able to access over time and the associated earnings potential.</w:t>
      </w:r>
    </w:p>
    <w:p>
      <w:pPr>
        <w:pStyle w:val="20major"/>
        <w:rPr/>
      </w:pPr>
      <w:r>
        <w:rPr/>
        <w:t xml:space="preserve">PROPOSED APPROACH </w:t>
      </w:r>
    </w:p>
    <w:p>
      <w:pPr>
        <w:pStyle w:val="Normal"/>
        <w:rPr/>
      </w:pPr>
      <w:r>
        <w:rPr/>
        <w:t>To meet the objectives quickly, we propose an approach in two phases.  As outlined in Exhibit 1, these phases are:</w:t>
      </w:r>
    </w:p>
    <w:p>
      <w:pPr>
        <w:pStyle w:val="05number1"/>
        <w:rPr/>
      </w:pPr>
      <w:r>
        <w:rPr/>
        <w:t>1.</w:t>
      </w:r>
      <w:r>
        <w:rPr>
          <w:b/>
          <w:bCs/>
        </w:rPr>
        <w:tab/>
        <w:t xml:space="preserve">Conduct initial market sizing and identify the short list of market development drivers (4 weeks).  </w:t>
      </w:r>
      <w:r>
        <w:rPr/>
        <w:t>This involves developing market size estimates using a combination of top-down, bottoms-up, and comparative approaches.  Based on market analysis, McKinsey experts, internal NetWorks input, external industry experts, and customer interviews the team would size the various market segments (e.g., Tier 2 and Tier 3) and assess likely adoption rates and timing.  In the course of assembling the fact-base, the team would also capture the key drivers that influence if-and-when the market will develop (e.g., industry structure/ consolidation, regulation, product standardization/complexity, technology costs), as well as the likely early adopters.</w:t>
      </w:r>
    </w:p>
    <w:p>
      <w:pPr>
        <w:pStyle w:val="05number1"/>
        <w:rPr/>
      </w:pPr>
      <w:r>
        <w:rPr/>
        <w:t>2.</w:t>
      </w:r>
      <w:r>
        <w:rPr>
          <w:b/>
          <w:bCs/>
        </w:rPr>
        <w:tab/>
        <w:t xml:space="preserve">Develop sizing scenarios and estimate the opportunity accessible to Enron (2 weeks).  </w:t>
      </w:r>
      <w:r>
        <w:rPr/>
        <w:t>This involves working from the established baseline completed in the first phase and developing scenarios around the key market development drivers identified.  These scenarios will provide an initial perspective on what it will take to be successful in this business, and at the same time will help in identifying the key business priorities.  Finally, the market opportunity needs to be carefully evaluated to identify the segments where Enron is likely to launch a successful offering (i.e., the early adopters), the timing of adoption by segments that are initially reluctant, and the earnings potential.</w:t>
      </w:r>
    </w:p>
    <w:p>
      <w:pPr>
        <w:pStyle w:val="20major"/>
        <w:rPr/>
      </w:pPr>
      <w:r>
        <w:rPr/>
        <w:t>END PRODUCTS</w:t>
      </w:r>
    </w:p>
    <w:p>
      <w:pPr>
        <w:pStyle w:val="Normal"/>
        <w:rPr/>
      </w:pPr>
      <w:r>
        <w:rPr/>
        <w:t>This effort would produce several end products:</w:t>
      </w:r>
    </w:p>
    <w:p>
      <w:pPr>
        <w:pStyle w:val="01parapoint"/>
        <w:numPr>
          <w:ilvl w:val="0"/>
          <w:numId w:val="5"/>
        </w:numPr>
        <w:ind w:hanging="0" w:start="0"/>
        <w:rPr/>
      </w:pPr>
      <w:r>
        <w:rPr/>
        <w:t>An estimate of the market opportunity for the service, with relevant break downs by segment and reflecting growth rates over time</w:t>
      </w:r>
    </w:p>
    <w:p>
      <w:pPr>
        <w:pStyle w:val="01parapoint"/>
        <w:numPr>
          <w:ilvl w:val="0"/>
          <w:numId w:val="5"/>
        </w:numPr>
        <w:ind w:hanging="0" w:start="0"/>
        <w:rPr/>
      </w:pPr>
      <w:r>
        <w:rPr/>
        <w:t>An assessment of the key drivers of uncertainty on market development and the implications on sizing scenarios (max, min, most likely)</w:t>
      </w:r>
    </w:p>
    <w:p>
      <w:pPr>
        <w:pStyle w:val="01parapoint"/>
        <w:numPr>
          <w:ilvl w:val="0"/>
          <w:numId w:val="5"/>
        </w:numPr>
        <w:ind w:hanging="0" w:start="0"/>
        <w:rPr/>
      </w:pPr>
      <w:r>
        <w:rPr/>
        <w:t>Estimated market shares and rough economics for Enron over time based on market development and segment penetrations.</w:t>
      </w:r>
    </w:p>
    <w:p>
      <w:pPr>
        <w:pStyle w:val="01parapoint"/>
        <w:numPr>
          <w:ilvl w:val="0"/>
          <w:numId w:val="0"/>
        </w:numPr>
        <w:ind w:hanging="288" w:start="979" w:end="0"/>
        <w:rPr>
          <w:rFonts w:ascii="Arial Unicode MS" w:hAnsi="Arial Unicode MS" w:cs="Arial Unicode MS"/>
          <w:vanish/>
          <w:sz w:val="24"/>
          <w:szCs w:val="24"/>
        </w:rPr>
      </w:pPr>
      <w:r>
        <w:rPr>
          <w:rFonts w:cs="Arial Unicode MS" w:ascii="Arial Unicode MS" w:hAnsi="Arial Unicode MS"/>
          <w:vanish/>
          <w:sz w:val="24"/>
          <w:szCs w:val="24"/>
        </w:rPr>
      </w:r>
    </w:p>
    <w:p>
      <w:pPr>
        <w:pStyle w:val="20major"/>
        <w:rPr/>
      </w:pPr>
      <w:bookmarkStart w:id="6" w:name="CCs"/>
      <w:bookmarkEnd w:id="6"/>
      <w:r>
        <w:rPr/>
        <w:t>Working arrangements</w:t>
      </w:r>
    </w:p>
    <w:p>
      <w:pPr>
        <w:pStyle w:val="Normal"/>
        <w:rPr/>
      </w:pPr>
      <w:r>
        <w:rPr/>
        <w:t>A suggested team arrangement can be found in Exhibit 4.  The full-time McKinsey team would consist initially of an engagement manager and two full-time associates.  Suzanne Nimocks, Arshad Matin, Scott Robinson, and Adolfo Montesinos would be responsible for this effort and would lead the study on a part-time basis.  They would be directly involved in team problem solving and would regularly review team progress and the products they develop.  Additionally, they will orchestrate the involvement of specialized McKinsey resources from our Business Technology Office, Financial Institutions Group, and Operations Practice.</w:t>
      </w:r>
    </w:p>
    <w:p>
      <w:pPr>
        <w:pStyle w:val="Normal"/>
        <w:rPr/>
      </w:pPr>
      <w:r>
        <w:rPr/>
        <w:t>Given the limited resources you have been able to deploy against this effort in the past, we have assumed that you would not be dedicating any full-time resources to the effort.  However, it would be beneficial to have access to 1 to 2 NetWorks resources on a part-time basis to support internal knowledge and data requirements.</w:t>
      </w:r>
    </w:p>
    <w:p>
      <w:pPr>
        <w:pStyle w:val="Normal"/>
        <w:rPr/>
      </w:pPr>
      <w:r>
        <w:rPr/>
        <w:t xml:space="preserve">Professional fees to complete this effort would be $375,000 per month.  In addition to professional fees, we would bill for expenses directly related to the study.  These include out-of-pocket expenses for travel, meals, lodging, as well as direct study support costs such as library research, report production, secretarial support, and the like.  Typically, expenses run about 15 percent of fees.  Professional fees are billed in the last week of the month for work completed in that month and expenses are billed on estimate and “trued-up” in the following month. </w:t>
      </w:r>
    </w:p>
    <w:p>
      <w:pPr>
        <w:pStyle w:val="23summary3"/>
        <w:spacing w:before="240" w:after="480"/>
        <w:rPr/>
      </w:pPr>
      <w:r>
        <w:rPr/>
        <w:t>* * *</w:t>
      </w:r>
    </w:p>
    <w:p>
      <w:pPr>
        <w:pStyle w:val="Normal"/>
        <w:rPr/>
      </w:pPr>
      <w:r>
        <w:rPr/>
        <w:t xml:space="preserve">We are excited to have the opportunity of working with you on this important project.  As we have stated in the past, we believe that Enron is best positioned to capture this opportunity.  </w:t>
      </w:r>
    </w:p>
    <w:p>
      <w:pPr>
        <w:pStyle w:val="01parapoint"/>
        <w:numPr>
          <w:ilvl w:val="0"/>
          <w:numId w:val="0"/>
        </w:numPr>
        <w:spacing w:before="0" w:after="180"/>
        <w:ind w:hanging="288" w:start="979" w:end="0"/>
        <w:jc w:val="end"/>
        <w:rPr>
          <w:i/>
          <w:i/>
          <w:iCs/>
        </w:rPr>
      </w:pPr>
      <w:r>
        <w:rPr>
          <w:i/>
          <w:iCs/>
        </w:rPr>
        <w:t>October 22, 2001</w:t>
      </w:r>
    </w:p>
    <w:sectPr>
      <w:headerReference w:type="default" r:id="rId2"/>
      <w:headerReference w:type="first" r:id="rId3"/>
      <w:footerReference w:type="default" r:id="rId4"/>
      <w:footerReference w:type="first" r:id="rId5"/>
      <w:type w:val="nextPage"/>
      <w:pgSz w:w="12240" w:h="15840"/>
      <w:pgMar w:left="2347" w:right="1253" w:gutter="0" w:header="1080" w:top="1440" w:footer="720" w:bottom="1080"/>
      <w:pgNumType w:start="1"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Times">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Palatino Linotype">
    <w:charset w:val="00" w:characterSet="windows-125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fldChar w:fldCharType="begin"/>
    </w:r>
    <w:r>
      <w:rPr/>
      <w:instrText xml:space="preserve"> PAGE </w:instrText>
    </w:r>
    <w:r>
      <w:rPr/>
      <w:fldChar w:fldCharType="separate"/>
    </w:r>
    <w:r>
      <w:rPr/>
      <w:t>3</w:t>
    </w:r>
    <w:r>
      <w:rPr/>
      <w:fldChar w:fldCharType="end"/>
    </w:r>
    <w:r>
      <mc:AlternateContent>
        <mc:Choice Requires="wps">
          <w:drawing>
            <wp:anchor behindDoc="0" distT="114300" distB="114300" distL="114300" distR="114300" simplePos="0" locked="0" layoutInCell="0" allowOverlap="1" relativeHeight="5">
              <wp:simplePos x="0" y="0"/>
              <wp:positionH relativeFrom="page">
                <wp:posOffset>457835</wp:posOffset>
              </wp:positionH>
              <wp:positionV relativeFrom="page">
                <wp:posOffset>9519285</wp:posOffset>
              </wp:positionV>
              <wp:extent cx="1244600"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244600" cy="116840"/>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ENX126/11022am LOP1</w:t>
                          </w:r>
                          <w:r>
                            <w:rPr/>
                            <w:fldChar w:fldCharType="end"/>
                          </w:r>
                        </w:p>
                      </w:txbxContent>
                    </wps:txbx>
                    <wps:bodyPr anchor="t" lIns="0" tIns="0" rIns="0" bIns="0">
                      <a:noAutofit/>
                    </wps:bodyPr>
                  </wps:wsp>
                </a:graphicData>
              </a:graphic>
            </wp:anchor>
          </w:drawing>
        </mc:Choice>
        <mc:Fallback>
          <w:pict>
            <v:rect fillcolor="#FFFFFF" style="position:absolute;rotation:-0;width:98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ENX126/11022am LOP1</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r>
      <mc:AlternateContent>
        <mc:Choice Requires="wps">
          <w:drawing>
            <wp:anchor behindDoc="0" distT="114300" distB="114300" distL="114300" distR="114300" simplePos="0" locked="0" layoutInCell="0" allowOverlap="1" relativeHeight="2">
              <wp:simplePos x="0" y="0"/>
              <wp:positionH relativeFrom="page">
                <wp:posOffset>457835</wp:posOffset>
              </wp:positionH>
              <wp:positionV relativeFrom="page">
                <wp:posOffset>9519285</wp:posOffset>
              </wp:positionV>
              <wp:extent cx="1244600" cy="116840"/>
              <wp:effectExtent l="0" t="0" r="0" b="0"/>
              <wp:wrapSquare wrapText="bothSides"/>
              <wp:docPr id="4" name="Frame1"/>
              <a:graphic xmlns:a="http://schemas.openxmlformats.org/drawingml/2006/main">
                <a:graphicData uri="http://schemas.microsoft.com/office/word/2010/wordprocessingShape">
                  <wps:wsp>
                    <wps:cNvSpPr txBox="1"/>
                    <wps:spPr>
                      <a:xfrm>
                        <a:off x="0" y="0"/>
                        <a:ext cx="1244600" cy="116840"/>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ENX126/11022am LOP1</w:t>
                          </w:r>
                          <w:r>
                            <w:rPr/>
                            <w:fldChar w:fldCharType="end"/>
                          </w:r>
                        </w:p>
                      </w:txbxContent>
                    </wps:txbx>
                    <wps:bodyPr anchor="t" lIns="0" tIns="0" rIns="0" bIns="0">
                      <a:noAutofit/>
                    </wps:bodyPr>
                  </wps:wsp>
                </a:graphicData>
              </a:graphic>
            </wp:anchor>
          </w:drawing>
        </mc:Choice>
        <mc:Fallback>
          <w:pict>
            <v:rect fillcolor="#FFFFFF" style="position:absolute;rotation:-0;width:98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ENX126/11022am LOP1</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114300" distB="114300" distL="114300" distR="114300" simplePos="0" locked="0" layoutInCell="0" allowOverlap="1" relativeHeight="7">
              <wp:simplePos x="0" y="0"/>
              <wp:positionH relativeFrom="page">
                <wp:posOffset>3639185</wp:posOffset>
              </wp:positionH>
              <wp:positionV relativeFrom="page">
                <wp:posOffset>457835</wp:posOffset>
              </wp:positionV>
              <wp:extent cx="3657600" cy="20955"/>
              <wp:effectExtent l="0" t="0" r="0" b="0"/>
              <wp:wrapSquare wrapText="bothSides"/>
              <wp:docPr id="1" name="Frame4"/>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ENX126/11022am LOP1</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ENX126/11022am LOP1</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rPr>
        <w:i/>
        <w:i/>
      </w:rPr>
    </w:pPr>
    <w:r>
      <w:rPr>
        <w:i/>
      </w:rPr>
      <w:t>Confidential</w:t>
    </w:r>
    <w:r>
      <mc:AlternateContent>
        <mc:Choice Requires="wps">
          <w:drawing>
            <wp:anchor behindDoc="0" distT="114300" distB="114300" distL="114300" distR="114300" simplePos="0" locked="0" layoutInCell="0" allowOverlap="1" relativeHeight="3">
              <wp:simplePos x="0" y="0"/>
              <wp:positionH relativeFrom="page">
                <wp:posOffset>3639185</wp:posOffset>
              </wp:positionH>
              <wp:positionV relativeFrom="page">
                <wp:posOffset>457835</wp:posOffset>
              </wp:positionV>
              <wp:extent cx="36576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ENX126/11022am LOP1</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ENX126/11022am LOP1</w:t>
                    </w:r>
                    <w: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1051"/>
        </w:tabs>
        <w:ind w:start="979" w:hanging="288"/>
      </w:pPr>
      <w:rPr>
        <w:rFonts w:ascii="Times New Roman" w:hAnsi="Times New Roman" w:cs="Times New Roman" w:hint="default"/>
      </w:rPr>
    </w:lvl>
  </w:abstractNum>
  <w:abstractNum w:abstractNumId="6">
    <w:lvl w:ilvl="0">
      <w:start w:val="1"/>
      <w:numFmt w:val="bullet"/>
      <w:lvlText w:val="–"/>
      <w:lvlJc w:val="start"/>
      <w:pPr>
        <w:tabs>
          <w:tab w:val="num" w:pos="648"/>
        </w:tabs>
        <w:ind w:start="605" w:hanging="317"/>
      </w:pPr>
      <w:rPr>
        <w:rFonts w:ascii="Palatino" w:hAnsi="Palatino" w:cs="Palatino" w:hint="default"/>
      </w:rPr>
    </w:lvl>
  </w:abstractNum>
  <w:abstractNum w:abstractNumId="7">
    <w:lvl w:ilvl="0">
      <w:start w:val="1"/>
      <w:numFmt w:val="bullet"/>
      <w:lvlText w:val="–"/>
      <w:lvlJc w:val="start"/>
      <w:pPr>
        <w:tabs>
          <w:tab w:val="num" w:pos="965"/>
        </w:tabs>
        <w:ind w:start="936" w:hanging="331"/>
      </w:pPr>
      <w:rPr>
        <w:rFonts w:ascii="Palatino" w:hAnsi="Palatino" w:cs="Palatino" w:hint="default"/>
      </w:rPr>
    </w:lvl>
  </w:abstractNum>
  <w:abstractNum w:abstractNumId="8">
    <w:lvl w:ilvl="0">
      <w:start w:val="1"/>
      <w:numFmt w:val="bullet"/>
      <w:lvlText w:val="."/>
      <w:lvlJc w:val="start"/>
      <w:pPr>
        <w:tabs>
          <w:tab w:val="num" w:pos="1973"/>
        </w:tabs>
        <w:ind w:start="1872" w:hanging="259"/>
      </w:pPr>
      <w:rPr>
        <w:rFonts w:ascii="Palatino" w:hAnsi="Palatino" w:cs="Palatino" w:hint="default"/>
      </w:rPr>
    </w:lvl>
  </w:abstractNum>
  <w:abstractNum w:abstractNumId="9">
    <w:lvl w:ilvl="0">
      <w:start w:val="1"/>
      <w:numFmt w:val="bullet"/>
      <w:lvlText w:val="–"/>
      <w:lvlJc w:val="start"/>
      <w:pPr>
        <w:tabs>
          <w:tab w:val="num" w:pos="648"/>
        </w:tabs>
        <w:ind w:start="605" w:hanging="317"/>
      </w:pPr>
      <w:rPr>
        <w:rFonts w:ascii="Palatino" w:hAnsi="Palatino" w:cs="Palatino" w:hint="default"/>
      </w:rPr>
    </w:lvl>
  </w:abstractNum>
  <w:abstractNum w:abstractNumId="10">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ind w:start="288" w:hanging="288"/>
      </w:pPr>
      <w:rPr>
        <w:rFonts w:ascii="Times New Roman" w:hAnsi="Times New Roman" w:cs="Times New Roman"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NewDocIDFormat" w:val="True"/>
    <w:docVar w:name="DocIDStyle" w:val="DocumentID-BL"/>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Times New Roman" w:cs="Times New Roman"/>
      <w:color w:val="auto"/>
      <w:sz w:val="26"/>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Times" w:hAnsi="Times" w:cs="Times"/>
      <w:b w:val="false"/>
      <w:i w:val="false"/>
      <w:sz w:val="24"/>
    </w:rPr>
  </w:style>
  <w:style w:type="character" w:styleId="WW8Num4z0">
    <w:name w:val="WW8Num4z0"/>
    <w:qFormat/>
    <w:rPr>
      <w:rFonts w:ascii="Times" w:hAnsi="Times" w:cs="Times"/>
      <w:b w:val="false"/>
      <w:i w:val="false"/>
      <w:sz w:val="24"/>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Times" w:hAnsi="Times" w:cs="Times"/>
      <w:b w:val="false"/>
      <w:i w:val="false"/>
      <w:sz w:val="24"/>
    </w:rPr>
  </w:style>
  <w:style w:type="character" w:styleId="WW8Num8z0">
    <w:name w:val="WW8Num8z0"/>
    <w:qFormat/>
    <w:rPr>
      <w:rFonts w:ascii="Times" w:hAnsi="Times" w:cs="Times"/>
      <w:b w:val="false"/>
      <w:i w:val="false"/>
      <w:sz w:val="24"/>
    </w:rPr>
  </w:style>
  <w:style w:type="character" w:styleId="WW8Num9z0">
    <w:name w:val="WW8Num9z0"/>
    <w:qFormat/>
    <w:rPr>
      <w:rFonts w:ascii="Times New Roman" w:hAnsi="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w:hAnsi="Times" w:cs="Times"/>
      <w:b w:val="false"/>
      <w:i w:val="false"/>
      <w:sz w:val="24"/>
    </w:rPr>
  </w:style>
  <w:style w:type="character" w:styleId="WW8Num11z0">
    <w:name w:val="WW8Num11z0"/>
    <w:qFormat/>
    <w:rPr>
      <w:rFonts w:ascii="Palatino" w:hAnsi="Palatino" w:cs="Palatino"/>
    </w:rPr>
  </w:style>
  <w:style w:type="character" w:styleId="WW8Num13z0">
    <w:name w:val="WW8Num13z0"/>
    <w:qFormat/>
    <w:rPr>
      <w:rFonts w:ascii="Times" w:hAnsi="Times" w:cs="Times"/>
      <w:b w:val="false"/>
      <w:i w:val="false"/>
      <w:sz w:val="2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1">
    <w:name w:val="WW8Num18z1"/>
    <w:qFormat/>
    <w:rPr>
      <w:rFonts w:ascii="Wingdings" w:hAnsi="Wingdings" w:cs="Wingdings"/>
      <w:sz w:val="28"/>
    </w:rPr>
  </w:style>
  <w:style w:type="character" w:styleId="WW8Num18z2">
    <w:name w:val="WW8Num18z2"/>
    <w:qFormat/>
    <w:rPr>
      <w:rFonts w:ascii="Times New Roman" w:hAnsi="Times New Roman" w:cs="Times New Roman"/>
      <w:sz w:val="24"/>
    </w:rPr>
  </w:style>
  <w:style w:type="character" w:styleId="WW8Num19z0">
    <w:name w:val="WW8Num19z0"/>
    <w:qFormat/>
    <w:rPr>
      <w:rFonts w:ascii="Wingdings" w:hAnsi="Wingdings" w:cs="Wingdings"/>
    </w:rPr>
  </w:style>
  <w:style w:type="character" w:styleId="WW8Num20z0">
    <w:name w:val="WW8Num20z0"/>
    <w:qFormat/>
    <w:rPr>
      <w:rFonts w:ascii="Palatino" w:hAnsi="Palatino" w:cs="Palatino"/>
    </w:rPr>
  </w:style>
  <w:style w:type="character" w:styleId="WW8Num21z0">
    <w:name w:val="WW8Num21z0"/>
    <w:qFormat/>
    <w:rPr>
      <w:rFonts w:ascii="Palatino" w:hAnsi="Palatino" w:cs="Palatino"/>
    </w:rPr>
  </w:style>
  <w:style w:type="character" w:styleId="WW8Num22z0">
    <w:name w:val="WW8Num22z0"/>
    <w:qFormat/>
    <w:rPr>
      <w:rFonts w:ascii="Times New Roman" w:hAnsi="Times New Roman" w:cs="Times New Roman"/>
      <w:b w:val="false"/>
      <w:i w:val="false"/>
    </w:rPr>
  </w:style>
  <w:style w:type="character" w:styleId="WW8Num23z0">
    <w:name w:val="WW8Num23z0"/>
    <w:qFormat/>
    <w:rPr>
      <w:rFonts w:ascii="Times" w:hAnsi="Times" w:cs="Times"/>
      <w:b w:val="false"/>
      <w:i w:val="false"/>
      <w:sz w:val="24"/>
    </w:rPr>
  </w:style>
  <w:style w:type="character" w:styleId="WW8Num24z0">
    <w:name w:val="WW8Num24z0"/>
    <w:qFormat/>
    <w:rPr>
      <w:rFonts w:ascii="Palatino" w:hAnsi="Palatino" w:cs="Palatino"/>
    </w:rPr>
  </w:style>
  <w:style w:type="character" w:styleId="WW8Num25z0">
    <w:name w:val="WW8Num25z0"/>
    <w:qFormat/>
    <w:rPr>
      <w:rFonts w:ascii="Times" w:hAnsi="Times" w:cs="Times"/>
      <w:b w:val="false"/>
      <w:i w:val="false"/>
      <w:sz w:val="24"/>
    </w:rPr>
  </w:style>
  <w:style w:type="character" w:styleId="WW8Num26z0">
    <w:name w:val="WW8Num26z0"/>
    <w:qFormat/>
    <w:rPr>
      <w:rFonts w:ascii="Times" w:hAnsi="Times" w:cs="Times"/>
      <w:b w:val="false"/>
      <w:i w:val="false"/>
      <w:sz w:val="24"/>
    </w:rPr>
  </w:style>
  <w:style w:type="character" w:styleId="WW8Num27z0">
    <w:name w:val="WW8Num27z0"/>
    <w:qFormat/>
    <w:rPr>
      <w:rFonts w:ascii="Times New Roman" w:hAnsi="Times New Roman" w:cs="Times New Roman"/>
    </w:rPr>
  </w:style>
  <w:style w:type="character" w:styleId="WW8Num29z0">
    <w:name w:val="WW8Num29z0"/>
    <w:qFormat/>
    <w:rPr>
      <w:rFonts w:ascii="Times" w:hAnsi="Times" w:cs="Times"/>
      <w:b w:val="false"/>
      <w:i w:val="false"/>
      <w:sz w:val="24"/>
    </w:rPr>
  </w:style>
  <w:style w:type="character" w:styleId="WW8Num30z0">
    <w:name w:val="WW8Num30z0"/>
    <w:qFormat/>
    <w:rPr>
      <w:rFonts w:ascii="Times New Roman" w:hAnsi="Times New Roman" w:cs="Times New Roman"/>
    </w:rPr>
  </w:style>
  <w:style w:type="character" w:styleId="WW8Num31z0">
    <w:name w:val="WW8Num31z0"/>
    <w:qFormat/>
    <w:rPr>
      <w:rFonts w:ascii="Wingdings" w:hAnsi="Wingdings" w:cs="Wingdings"/>
    </w:rPr>
  </w:style>
  <w:style w:type="character" w:styleId="WW8Num34z0">
    <w:name w:val="WW8Num34z0"/>
    <w:qFormat/>
    <w:rPr>
      <w:rFonts w:ascii="Times" w:hAnsi="Times" w:cs="Times"/>
      <w:b w:val="false"/>
      <w:i w:val="false"/>
      <w:sz w:val="24"/>
    </w:rPr>
  </w:style>
  <w:style w:type="character" w:styleId="WW8Num35z0">
    <w:name w:val="WW8Num35z0"/>
    <w:qFormat/>
    <w:rPr>
      <w:rFonts w:ascii="Palatino" w:hAnsi="Palatino" w:cs="Palatino"/>
      <w:b w:val="false"/>
      <w:i w:val="false"/>
    </w:rPr>
  </w:style>
  <w:style w:type="character" w:styleId="WW8Num37z0">
    <w:name w:val="WW8Num37z0"/>
    <w:qFormat/>
    <w:rPr>
      <w:rFonts w:ascii="Wingdings" w:hAnsi="Wingdings" w:cs="Wingdings"/>
    </w:rPr>
  </w:style>
  <w:style w:type="character" w:styleId="WW8Num38z0">
    <w:name w:val="WW8Num38z0"/>
    <w:qFormat/>
    <w:rPr>
      <w:rFonts w:ascii="Times" w:hAnsi="Times" w:cs="Times"/>
      <w:b w:val="false"/>
      <w:i w:val="false"/>
      <w:sz w:val="24"/>
    </w:rPr>
  </w:style>
  <w:style w:type="character" w:styleId="WW8Num39z0">
    <w:name w:val="WW8Num39z0"/>
    <w:qFormat/>
    <w:rPr>
      <w:rFonts w:ascii="Times" w:hAnsi="Times" w:cs="Times"/>
      <w:b w:val="false"/>
      <w:i w:val="false"/>
      <w:sz w:val="24"/>
    </w:rPr>
  </w:style>
  <w:style w:type="character" w:styleId="WW8Num40z0">
    <w:name w:val="WW8Num40z0"/>
    <w:qFormat/>
    <w:rPr>
      <w:rFonts w:ascii="Times" w:hAnsi="Times" w:cs="Times"/>
      <w:b w:val="false"/>
      <w:i w:val="false"/>
      <w:sz w:val="24"/>
    </w:rPr>
  </w:style>
  <w:style w:type="character" w:styleId="WW8Num41z0">
    <w:name w:val="WW8Num41z0"/>
    <w:qFormat/>
    <w:rPr>
      <w:rFonts w:ascii="Times" w:hAnsi="Times" w:cs="Times"/>
      <w:b w:val="false"/>
      <w:i w:val="false"/>
      <w:sz w:val="24"/>
    </w:rPr>
  </w:style>
  <w:style w:type="character" w:styleId="WW8Num42z0">
    <w:name w:val="WW8Num42z0"/>
    <w:qFormat/>
    <w:rPr>
      <w:rFonts w:ascii="Times New Roman" w:hAnsi="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Palatino" w:hAnsi="Palatino" w:cs="Palatino"/>
    </w:rPr>
  </w:style>
  <w:style w:type="character" w:styleId="WW8Num45z0">
    <w:name w:val="WW8Num45z0"/>
    <w:qFormat/>
    <w:rPr>
      <w:rFonts w:ascii="Palatino" w:hAnsi="Palatino" w:cs="Palatino"/>
    </w:rPr>
  </w:style>
  <w:style w:type="character" w:styleId="WW8Num46z0">
    <w:name w:val="WW8Num46z0"/>
    <w:qFormat/>
    <w:rPr>
      <w:rFonts w:ascii="Wingdings" w:hAnsi="Wingdings" w:cs="Wingdings"/>
      <w:sz w:val="28"/>
    </w:rPr>
  </w:style>
  <w:style w:type="character" w:styleId="WW8Num47z0">
    <w:name w:val="WW8Num47z0"/>
    <w:qFormat/>
    <w:rPr>
      <w:rFonts w:ascii="Times New Roman" w:hAnsi="Times New Roman" w:cs="Times New Roman"/>
      <w:b w:val="false"/>
      <w:i w:val="false"/>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Times" w:hAnsi="Times" w:cs="Times"/>
      <w:b w:val="false"/>
      <w:i w:val="false"/>
      <w:sz w:val="24"/>
    </w:rPr>
  </w:style>
  <w:style w:type="character" w:styleId="WW8Num50z0">
    <w:name w:val="WW8Num50z0"/>
    <w:qFormat/>
    <w:rPr>
      <w:rFonts w:ascii="Palatino Linotype" w:hAnsi="Palatino Linotype" w:cs="Palatino Linotype"/>
    </w:rPr>
  </w:style>
  <w:style w:type="character" w:styleId="WW8Num51z0">
    <w:name w:val="WW8Num51z0"/>
    <w:qFormat/>
    <w:rPr>
      <w:rFonts w:ascii="Wingdings" w:hAnsi="Wingdings" w:cs="Wingdings"/>
    </w:rPr>
  </w:style>
  <w:style w:type="character" w:styleId="WW8Num52z0">
    <w:name w:val="WW8Num52z0"/>
    <w:qFormat/>
    <w:rPr>
      <w:rFonts w:ascii="Palatino" w:hAnsi="Palatino" w:cs="Palatino"/>
    </w:rPr>
  </w:style>
  <w:style w:type="character" w:styleId="WW8Num53z0">
    <w:name w:val="WW8Num53z0"/>
    <w:qFormat/>
    <w:rPr>
      <w:rFonts w:ascii="Times New Roman" w:hAnsi="Times New Roman" w:cs="Times New Roman"/>
    </w:rPr>
  </w:style>
  <w:style w:type="character" w:styleId="WW8Num54z0">
    <w:name w:val="WW8Num54z0"/>
    <w:qFormat/>
    <w:rPr>
      <w:rFonts w:ascii="Times" w:hAnsi="Times" w:cs="Times"/>
      <w:b w:val="false"/>
      <w:i w:val="false"/>
      <w:sz w:val="24"/>
    </w:rPr>
  </w:style>
  <w:style w:type="character" w:styleId="WW8Num56z0">
    <w:name w:val="WW8Num56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61z0">
    <w:name w:val="WW8Num61z0"/>
    <w:qFormat/>
    <w:rPr>
      <w:rFonts w:ascii="Times" w:hAnsi="Times" w:cs="Times"/>
      <w:b w:val="false"/>
      <w:i w:val="false"/>
      <w:sz w:val="24"/>
    </w:rPr>
  </w:style>
  <w:style w:type="character" w:styleId="WW8Num62z0">
    <w:name w:val="WW8Num62z0"/>
    <w:qFormat/>
    <w:rPr>
      <w:rFonts w:ascii="Times" w:hAnsi="Times" w:cs="Times"/>
      <w:b w:val="false"/>
      <w:i w:val="false"/>
      <w:sz w:val="24"/>
    </w:rPr>
  </w:style>
  <w:style w:type="character" w:styleId="WW8Num63z0">
    <w:name w:val="WW8Num63z0"/>
    <w:qFormat/>
    <w:rPr>
      <w:rFonts w:ascii="Times" w:hAnsi="Times" w:cs="Times"/>
      <w:b w:val="false"/>
      <w:i w:val="false"/>
      <w:sz w:val="24"/>
    </w:rPr>
  </w:style>
  <w:style w:type="character" w:styleId="WW8Num64z0">
    <w:name w:val="WW8Num64z0"/>
    <w:qFormat/>
    <w:rPr>
      <w:rFonts w:ascii="Times" w:hAnsi="Times" w:cs="Times"/>
      <w:b w:val="false"/>
      <w:i w:val="false"/>
      <w:sz w:val="24"/>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Times" w:hAnsi="Times" w:cs="Times"/>
      <w:b w:val="false"/>
      <w:i w:val="false"/>
      <w:sz w:val="24"/>
    </w:rPr>
  </w:style>
  <w:style w:type="character" w:styleId="WW8Num68z0">
    <w:name w:val="WW8Num68z0"/>
    <w:qFormat/>
    <w:rPr>
      <w:rFonts w:ascii="Times" w:hAnsi="Times" w:cs="Times"/>
      <w:b w:val="false"/>
      <w:i w:val="false"/>
      <w:sz w:val="24"/>
    </w:rPr>
  </w:style>
  <w:style w:type="character" w:styleId="WW8NumSt27z0">
    <w:name w:val="WW8NumSt27z0"/>
    <w:qFormat/>
    <w:rPr>
      <w:rFonts w:ascii="Times" w:hAnsi="Times" w:cs="Times"/>
    </w:rPr>
  </w:style>
  <w:style w:type="character" w:styleId="WW8NumSt32z0">
    <w:name w:val="WW8NumSt32z0"/>
    <w:qFormat/>
    <w:rPr>
      <w:rFonts w:ascii="Times" w:hAnsi="Times" w:cs="Times"/>
    </w:rPr>
  </w:style>
  <w:style w:type="character" w:styleId="WW8NumSt37z0">
    <w:name w:val="WW8NumSt37z0"/>
    <w:qFormat/>
    <w:rPr>
      <w:rFonts w:ascii="Times" w:hAnsi="Times" w:cs="Times"/>
      <w:sz w:val="24"/>
    </w:rPr>
  </w:style>
  <w:style w:type="character" w:styleId="WW8NumSt38z0">
    <w:name w:val="WW8NumSt38z0"/>
    <w:qFormat/>
    <w:rPr>
      <w:rFonts w:ascii="Times" w:hAnsi="Times" w:cs="Times"/>
    </w:rPr>
  </w:style>
  <w:style w:type="character" w:styleId="WW8NumSt39z0">
    <w:name w:val="WW8NumSt39z0"/>
    <w:qFormat/>
    <w:rPr>
      <w:rFonts w:ascii="Times" w:hAnsi="Times" w:cs="Times"/>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73z0">
    <w:name w:val="WW8NumSt73z0"/>
    <w:qFormat/>
    <w:rPr>
      <w:rFonts w:ascii="Palatino" w:hAnsi="Palatino" w:cs="Palatino"/>
    </w:rPr>
  </w:style>
  <w:style w:type="character" w:styleId="WW8NumSt76z0">
    <w:name w:val="WW8NumSt76z0"/>
    <w:qFormat/>
    <w:rPr>
      <w:rFonts w:ascii="Palatino" w:hAnsi="Palatino" w:cs="Palatino"/>
    </w:rPr>
  </w:style>
  <w:style w:type="character" w:styleId="WW8NumSt93z0">
    <w:name w:val="WW8NumSt93z0"/>
    <w:qFormat/>
    <w:rPr>
      <w:rFonts w:ascii="Palatino" w:hAnsi="Palatino" w:cs="Palatino"/>
    </w:rPr>
  </w:style>
  <w:style w:type="character" w:styleId="WW8NumSt96z0">
    <w:name w:val="WW8NumSt96z0"/>
    <w:qFormat/>
    <w:rPr>
      <w:rFonts w:ascii="Palatino" w:hAnsi="Palatino" w:cs="Palatino"/>
    </w:rPr>
  </w:style>
  <w:style w:type="character" w:styleId="WW8NumSt97z0">
    <w:name w:val="WW8NumSt97z0"/>
    <w:qFormat/>
    <w:rPr>
      <w:rFonts w:ascii="Palatino" w:hAnsi="Palatino" w:cs="Palatino"/>
    </w:rPr>
  </w:style>
  <w:style w:type="character" w:styleId="WW8NumSt100z0">
    <w:name w:val="WW8NumSt100z0"/>
    <w:qFormat/>
    <w:rPr>
      <w:rFonts w:ascii="Palatino" w:hAnsi="Palatino" w:cs="Palatino"/>
    </w:rPr>
  </w:style>
  <w:style w:type="character" w:styleId="WW8NumSt121z0">
    <w:name w:val="WW8NumSt121z0"/>
    <w:qFormat/>
    <w:rPr>
      <w:rFonts w:ascii="Palatino" w:hAnsi="Palatino" w:cs="Palatino"/>
    </w:rPr>
  </w:style>
  <w:style w:type="character" w:styleId="WW8NumSt124z0">
    <w:name w:val="WW8NumSt124z0"/>
    <w:qFormat/>
    <w:rPr>
      <w:rFonts w:ascii="Palatino" w:hAnsi="Palatino" w:cs="Palatino"/>
    </w:rPr>
  </w:style>
  <w:style w:type="character" w:styleId="WW8NumSt137z0">
    <w:name w:val="WW8NumSt137z0"/>
    <w:qFormat/>
    <w:rPr>
      <w:rFonts w:ascii="Palatino Linotype" w:hAnsi="Palatino Linotype" w:cs="Palatino Linotype"/>
    </w:rPr>
  </w:style>
  <w:style w:type="character" w:styleId="WW8NumSt137z1">
    <w:name w:val="WW8NumSt137z1"/>
    <w:qFormat/>
    <w:rPr>
      <w:rFonts w:ascii="Courier New" w:hAnsi="Courier New" w:cs="Courier New"/>
    </w:rPr>
  </w:style>
  <w:style w:type="character" w:styleId="WW8NumSt137z2">
    <w:name w:val="WW8NumSt137z2"/>
    <w:qFormat/>
    <w:rPr>
      <w:rFonts w:ascii="Wingdings" w:hAnsi="Wingdings" w:cs="Wingdings"/>
    </w:rPr>
  </w:style>
  <w:style w:type="character" w:styleId="WW8NumSt137z3">
    <w:name w:val="WW8NumSt137z3"/>
    <w:qFormat/>
    <w:rPr>
      <w:rFonts w:ascii="Symbol" w:hAnsi="Symbol" w:cs="Symbol"/>
    </w:rPr>
  </w:style>
  <w:style w:type="character" w:styleId="WW8NumSt140z0">
    <w:name w:val="WW8NumSt140z0"/>
    <w:qFormat/>
    <w:rPr>
      <w:rFonts w:ascii="Palatino" w:hAnsi="Palatino" w:cs="Palatino"/>
    </w:rPr>
  </w:style>
  <w:style w:type="character" w:styleId="WW8NumSt150z0">
    <w:name w:val="WW8NumSt150z0"/>
    <w:qFormat/>
    <w:rPr>
      <w:rFonts w:ascii="Palatino Linotype" w:hAnsi="Palatino Linotype" w:cs="Palatino Linotype"/>
    </w:rPr>
  </w:style>
  <w:style w:type="character" w:styleId="WW8NumSt150z1">
    <w:name w:val="WW8NumSt150z1"/>
    <w:qFormat/>
    <w:rPr>
      <w:rFonts w:ascii="Courier New" w:hAnsi="Courier New" w:cs="Courier New"/>
    </w:rPr>
  </w:style>
  <w:style w:type="character" w:styleId="WW8NumSt150z2">
    <w:name w:val="WW8NumSt150z2"/>
    <w:qFormat/>
    <w:rPr>
      <w:rFonts w:ascii="Wingdings" w:hAnsi="Wingdings" w:cs="Wingdings"/>
    </w:rPr>
  </w:style>
  <w:style w:type="character" w:styleId="WW8NumSt150z3">
    <w:name w:val="WW8NumSt150z3"/>
    <w:qFormat/>
    <w:rPr>
      <w:rFonts w:ascii="Symbol" w:hAnsi="Symbol" w:cs="Symbol"/>
    </w:rPr>
  </w:style>
  <w:style w:type="character" w:styleId="WW8NumSt155z0">
    <w:name w:val="WW8NumSt155z0"/>
    <w:qFormat/>
    <w:rPr>
      <w:rFonts w:ascii="Times New Roman" w:hAnsi="Times New Roman" w:cs="Times New Roman"/>
    </w:rPr>
  </w:style>
  <w:style w:type="character" w:styleId="WW8NumSt155z1">
    <w:name w:val="WW8NumSt155z1"/>
    <w:qFormat/>
    <w:rPr>
      <w:rFonts w:ascii="Courier New" w:hAnsi="Courier New" w:cs="Courier New"/>
    </w:rPr>
  </w:style>
  <w:style w:type="character" w:styleId="WW8NumSt155z2">
    <w:name w:val="WW8NumSt155z2"/>
    <w:qFormat/>
    <w:rPr>
      <w:rFonts w:ascii="Wingdings" w:hAnsi="Wingdings" w:cs="Wingdings"/>
    </w:rPr>
  </w:style>
  <w:style w:type="character" w:styleId="WW8NumSt155z3">
    <w:name w:val="WW8NumSt155z3"/>
    <w:qFormat/>
    <w:rPr>
      <w:rFonts w:ascii="Symbol" w:hAnsi="Symbol" w:cs="Symbol"/>
    </w:rPr>
  </w:style>
  <w:style w:type="character" w:styleId="WW8NumSt158z0">
    <w:name w:val="WW8NumSt158z0"/>
    <w:qFormat/>
    <w:rPr>
      <w:rFonts w:ascii="Palatino" w:hAnsi="Palatino" w:cs="Palatino"/>
    </w:rPr>
  </w:style>
  <w:style w:type="character" w:styleId="WW8NumSt159z0">
    <w:name w:val="WW8NumSt159z0"/>
    <w:qFormat/>
    <w:rPr>
      <w:rFonts w:ascii="Arial" w:hAnsi="Arial" w:cs="Arial"/>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10"/>
    </w:pPr>
    <w:rPr>
      <w:i/>
      <w:iCs/>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4"/>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rPr>
  </w:style>
  <w:style w:type="paragraph" w:styleId="01parapoint">
    <w:name w:val="01 parapoint"/>
    <w:basedOn w:val="Normal"/>
    <w:qFormat/>
    <w:pPr>
      <w:numPr>
        <w:ilvl w:val="0"/>
        <w:numId w:val="5"/>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27" w:leader="none"/>
      </w:tabs>
      <w:outlineLvl w:val="7"/>
    </w:pPr>
    <w:rPr/>
  </w:style>
  <w:style w:type="paragraph" w:styleId="04dot">
    <w:name w:val="04 dot"/>
    <w:basedOn w:val="Normal"/>
    <w:qFormat/>
    <w:pPr>
      <w:numPr>
        <w:ilvl w:val="0"/>
        <w:numId w:val="8"/>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tabs>
        <w:tab w:val="clear" w:pos="720"/>
      </w:tabs>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7"/>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ind w:hanging="0" w:start="0" w:end="72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4"/>
    </w:rPr>
  </w:style>
  <w:style w:type="paragraph" w:styleId="31subtitle">
    <w:name w:val="31 subtitle"/>
    <w:basedOn w:val="Normal"/>
    <w:next w:val="Normal"/>
    <w:qFormat/>
    <w:pPr>
      <w:spacing w:before="0" w:after="720"/>
      <w:ind w:hanging="0" w:start="0" w:end="3601"/>
    </w:pPr>
    <w:rPr>
      <w:i/>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4"/>
    </w:rPr>
  </w:style>
  <w:style w:type="paragraph" w:styleId="38date">
    <w:name w:val="38 date"/>
    <w:basedOn w:val="Normal"/>
    <w:next w:val="39restrictivenote"/>
    <w:qFormat/>
    <w:pPr>
      <w:spacing w:before="1680" w:after="180"/>
      <w:jc w:val="end"/>
    </w:pPr>
    <w:rPr/>
  </w:style>
  <w:style w:type="paragraph" w:styleId="39restrictivenote">
    <w:name w:val="39 restrictive note"/>
    <w:basedOn w:val="Normal"/>
    <w:next w:val="40address"/>
    <w:qFormat/>
    <w:pPr/>
    <w:rPr>
      <w:i/>
    </w:rPr>
  </w:style>
  <w:style w:type="paragraph" w:styleId="40address">
    <w:name w:val="40 address"/>
    <w:basedOn w:val="Normal"/>
    <w:qFormat/>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0exhnormal">
    <w:name w:val="60 exh normal"/>
    <w:basedOn w:val="Normal"/>
    <w:qFormat/>
    <w:pPr>
      <w:spacing w:before="0" w:after="0"/>
    </w:pPr>
    <w:rPr>
      <w:rFonts w:ascii="Arial" w:hAnsi="Arial" w:cs="Arial"/>
      <w:sz w:val="24"/>
    </w:rPr>
  </w:style>
  <w:style w:type="paragraph" w:styleId="61exhbullet">
    <w:name w:val="61 exh bullet"/>
    <w:basedOn w:val="Normal"/>
    <w:qFormat/>
    <w:pPr>
      <w:numPr>
        <w:ilvl w:val="0"/>
        <w:numId w:val="11"/>
      </w:numPr>
      <w:tabs>
        <w:tab w:val="clear" w:pos="720"/>
      </w:tabs>
      <w:spacing w:before="0" w:after="0"/>
    </w:pPr>
    <w:rPr>
      <w:rFonts w:ascii="Arial" w:hAnsi="Arial" w:cs="Arial"/>
      <w:sz w:val="24"/>
    </w:rPr>
  </w:style>
  <w:style w:type="paragraph" w:styleId="62exhdash">
    <w:name w:val="62 exh dash"/>
    <w:basedOn w:val="12tablebullet"/>
    <w:qFormat/>
    <w:pPr>
      <w:numPr>
        <w:ilvl w:val="0"/>
        <w:numId w:val="9"/>
      </w:numPr>
      <w:tabs>
        <w:tab w:val="left" w:pos="360" w:leader="none"/>
        <w:tab w:val="left" w:pos="605" w:leader="none"/>
      </w:tabs>
    </w:pPr>
    <w:rPr>
      <w:rFonts w:ascii="Arial" w:hAnsi="Arial" w:cs="Arial"/>
      <w:sz w:val="24"/>
    </w:rPr>
  </w:style>
  <w:style w:type="paragraph" w:styleId="63exhdot">
    <w:name w:val="63 exh dot"/>
    <w:basedOn w:val="13tabledash"/>
    <w:qFormat/>
    <w:pPr>
      <w:numPr>
        <w:ilvl w:val="0"/>
        <w:numId w:val="12"/>
      </w:numPr>
      <w:tabs>
        <w:tab w:val="left" w:pos="360" w:leader="none"/>
      </w:tabs>
    </w:pPr>
    <w:rPr>
      <w:rFonts w:ascii="Arial" w:hAnsi="Arial" w:cs="Arial"/>
      <w:sz w:val="24"/>
    </w:rPr>
  </w:style>
  <w:style w:type="paragraph" w:styleId="64exhddot">
    <w:name w:val="64 exh ddot"/>
    <w:basedOn w:val="04dot"/>
    <w:qFormat/>
    <w:pPr>
      <w:numPr>
        <w:ilvl w:val="0"/>
        <w:numId w:val="10"/>
      </w:numPr>
      <w:spacing w:before="0" w:after="0"/>
      <w:ind w:hanging="0" w:start="1195" w:end="0"/>
      <w:outlineLvl w:val="9"/>
    </w:pPr>
    <w:rPr>
      <w:rFonts w:ascii="Arial" w:hAnsi="Arial" w:cs="Arial"/>
      <w:sz w:val="24"/>
    </w:rPr>
  </w:style>
  <w:style w:type="paragraph" w:styleId="65exhnumber1">
    <w:name w:val="65 exh number/1"/>
    <w:basedOn w:val="16tablenumber1"/>
    <w:qFormat/>
    <w:pPr>
      <w:ind w:hanging="288" w:start="288" w:end="0"/>
    </w:pPr>
    <w:rPr>
      <w:rFonts w:ascii="Arial" w:hAnsi="Arial" w:cs="Arial"/>
      <w:sz w:val="24"/>
    </w:rPr>
  </w:style>
  <w:style w:type="paragraph" w:styleId="66exhletter2">
    <w:name w:val="66 exh letter/2"/>
    <w:basedOn w:val="17tableletter2"/>
    <w:qFormat/>
    <w:pPr>
      <w:ind w:hanging="317" w:start="605" w:end="0"/>
    </w:pPr>
    <w:rPr>
      <w:rFonts w:ascii="Arial" w:hAnsi="Arial" w:cs="Arial"/>
      <w:sz w:val="24"/>
    </w:rPr>
  </w:style>
  <w:style w:type="paragraph" w:styleId="67exhnumber3">
    <w:name w:val="67 exh number/3"/>
    <w:basedOn w:val="18tablenumber3"/>
    <w:qFormat/>
    <w:pPr>
      <w:ind w:hanging="331" w:start="936" w:end="0"/>
    </w:pPr>
    <w:rPr>
      <w:rFonts w:ascii="Arial" w:hAnsi="Arial" w:cs="Arial"/>
      <w:sz w:val="24"/>
    </w:rPr>
  </w:style>
  <w:style w:type="paragraph" w:styleId="68exhletter4">
    <w:name w:val="68 exh letter/4"/>
    <w:basedOn w:val="19tableletter4"/>
    <w:qFormat/>
    <w:pPr>
      <w:ind w:hanging="331" w:start="1267" w:end="0"/>
    </w:pPr>
    <w:rPr>
      <w:rFonts w:ascii="Arial" w:hAnsi="Arial" w:cs="Arial"/>
      <w:sz w:val="24"/>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sz w:val="24"/>
    </w:rPr>
  </w:style>
  <w:style w:type="paragraph" w:styleId="71exhtblbullet">
    <w:name w:val="71 exh tbl bullet"/>
    <w:basedOn w:val="11tableparapoint"/>
    <w:qFormat/>
    <w:pPr>
      <w:numPr>
        <w:ilvl w:val="0"/>
        <w:numId w:val="3"/>
      </w:numPr>
    </w:pPr>
    <w:rPr>
      <w:rFonts w:ascii="Arial" w:hAnsi="Arial" w:cs="Arial"/>
      <w:sz w:val="24"/>
    </w:rPr>
  </w:style>
  <w:style w:type="paragraph" w:styleId="72exhtbldash">
    <w:name w:val="72 exh tbl dash"/>
    <w:basedOn w:val="12tablebullet"/>
    <w:qFormat/>
    <w:pPr>
      <w:numPr>
        <w:ilvl w:val="0"/>
        <w:numId w:val="6"/>
      </w:numPr>
    </w:pPr>
    <w:rPr>
      <w:rFonts w:ascii="Arial" w:hAnsi="Arial" w:cs="Arial"/>
      <w:sz w:val="24"/>
    </w:rPr>
  </w:style>
  <w:style w:type="paragraph" w:styleId="73exhtbldot">
    <w:name w:val="73 exh tbl dot"/>
    <w:basedOn w:val="13tabledash"/>
    <w:qFormat/>
    <w:pPr>
      <w:numPr>
        <w:ilvl w:val="0"/>
        <w:numId w:val="13"/>
      </w:numPr>
      <w:tabs>
        <w:tab w:val="left" w:pos="936" w:leader="none"/>
      </w:tabs>
    </w:pPr>
    <w:rPr>
      <w:rFonts w:ascii="Arial" w:hAnsi="Arial" w:cs="Arial"/>
      <w:sz w:val="24"/>
    </w:rPr>
  </w:style>
  <w:style w:type="paragraph" w:styleId="74exhtblddot">
    <w:name w:val="74 exh tbl ddot"/>
    <w:basedOn w:val="14tabledot"/>
    <w:qFormat/>
    <w:pPr>
      <w:numPr>
        <w:ilvl w:val="0"/>
        <w:numId w:val="2"/>
      </w:numPr>
    </w:pPr>
    <w:rPr>
      <w:rFonts w:ascii="Arial" w:hAnsi="Arial" w:cs="Arial"/>
      <w:sz w:val="24"/>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sz w:val="24"/>
    </w:rPr>
  </w:style>
  <w:style w:type="paragraph" w:styleId="77exhtblletter2">
    <w:name w:val="77 exh tbl letter/2"/>
    <w:basedOn w:val="17tableletter2"/>
    <w:qFormat/>
    <w:pPr/>
    <w:rPr>
      <w:rFonts w:ascii="Arial" w:hAnsi="Arial" w:cs="Arial"/>
      <w:sz w:val="24"/>
    </w:rPr>
  </w:style>
  <w:style w:type="paragraph" w:styleId="78exhtblnumber3">
    <w:name w:val="78 exh tbl number/3"/>
    <w:basedOn w:val="18tablenumber3"/>
    <w:qFormat/>
    <w:pPr/>
    <w:rPr>
      <w:rFonts w:ascii="Arial" w:hAnsi="Arial" w:cs="Arial"/>
      <w:sz w:val="24"/>
    </w:rPr>
  </w:style>
  <w:style w:type="paragraph" w:styleId="79exhtblletter4">
    <w:name w:val="79 exh tbl letter/4"/>
    <w:basedOn w:val="19tableletter4"/>
    <w:qFormat/>
    <w:pPr/>
    <w:rPr>
      <w:rFonts w:ascii="Arial" w:hAnsi="Arial" w:cs="Arial"/>
      <w:sz w:val="24"/>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Times New Roman" w:hAnsi="Times New Roman" w:cs="Times New Roman"/>
      <w:sz w:val="26"/>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4exhsubtitle">
    <w:name w:val="84 exh subtitle"/>
    <w:basedOn w:val="60exhnormal"/>
    <w:next w:val="86exhmeasure"/>
    <w:qFormat/>
    <w:pPr>
      <w:spacing w:before="100" w:after="0"/>
    </w:pPr>
    <w:rPr>
      <w:b/>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6exhmeasure">
    <w:name w:val="86 exh measure"/>
    <w:basedOn w:val="60exhnormal"/>
    <w:next w:val="60exhnormal"/>
    <w:qFormat/>
    <w:pPr>
      <w:spacing w:before="100" w:after="0"/>
    </w:pPr>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style>
  <w:style w:type="paragraph" w:styleId="DocumentID-TR">
    <w:name w:val="DocumentID-TR"/>
    <w:basedOn w:val="Normal"/>
    <w:next w:val="Header"/>
    <w:qFormat/>
    <w:pPr>
      <w:spacing w:before="0" w:after="0"/>
      <w:jc w:val="end"/>
    </w:pPr>
    <w:rPr>
      <w:vanish/>
      <w:color w:val="FF0000"/>
      <w:sz w:val="16"/>
    </w:rPr>
  </w:style>
  <w:style w:type="paragraph" w:styleId="DocumentID-TRT">
    <w:name w:val="DocumentID-TRT"/>
    <w:basedOn w:val="DocumentID-TR"/>
    <w:qFormat/>
    <w:pPr/>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(Client).dot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2001-10-22T14:46:00Z</dcterms:created>
  <dc:creator>Adolfo MontesionsͰ</dc:creator>
  <dc:description>ENX126/11022am LOP1</dc:description>
  <cp:keywords>txho/</cp:keywords>
  <dc:language>en-CA</dc:language>
  <cp:lastModifiedBy>Grace Olivares</cp:lastModifiedBy>
  <cp:lastPrinted>2001-10-22T12:25:00Z</cp:lastPrinted>
  <dcterms:modified xsi:type="dcterms:W3CDTF">2001-10-22T14:55:00Z</dcterms:modified>
  <cp:revision>4</cp:revision>
  <dc:subject/>
  <dc:title>Memorandum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IsPath">
    <vt:bool>0</vt:bool>
  </property>
  <property fmtid="{D5CDD505-2E9C-101B-9397-08002B2CF9AE}" pid="3" name="DocIDPos">
    <vt:lpwstr>BL</vt:lpwstr>
  </property>
  <property fmtid="{D5CDD505-2E9C-101B-9397-08002B2CF9AE}" pid="4" name="DocIDinText">
    <vt:bool>1</vt:bool>
  </property>
  <property fmtid="{D5CDD505-2E9C-101B-9397-08002B2CF9AE}" pid="5" name="DocIDinTitle">
    <vt:bool>1</vt:bool>
  </property>
</Properties>
</file>