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i/>
          <w:i/>
          <w:iCs/>
        </w:rPr>
      </w:pPr>
      <w:r>
        <w:rPr>
          <w:i/>
          <w:iCs/>
        </w:rPr>
        <w:t>DRAFT</w:t>
      </w:r>
    </w:p>
    <w:p>
      <w:pPr>
        <w:pStyle w:val="Heading"/>
        <w:tabs>
          <w:tab w:val="clear" w:pos="720"/>
          <w:tab w:val="left" w:pos="5400" w:leader="none"/>
        </w:tabs>
        <w:rPr/>
      </w:pPr>
      <w:r>
        <w:rPr/>
        <w:t>MINUTES</w:t>
      </w:r>
    </w:p>
    <w:p>
      <w:pPr>
        <w:pStyle w:val="Normal"/>
        <w:jc w:val="center"/>
        <w:rPr>
          <w:b/>
        </w:rPr>
      </w:pPr>
      <w:r>
        <w:rPr>
          <w:b/>
        </w:rPr>
        <w:t>MEETING OF THE AUDIT AND COMPLIANCE COMMITTEE</w:t>
      </w:r>
    </w:p>
    <w:p>
      <w:pPr>
        <w:pStyle w:val="Normal"/>
        <w:jc w:val="center"/>
        <w:rPr>
          <w:b/>
        </w:rPr>
      </w:pPr>
      <w:r>
        <w:rPr>
          <w:b/>
        </w:rPr>
        <w:t>OF THE BOARD OF DIRECTORS</w:t>
      </w:r>
    </w:p>
    <w:p>
      <w:pPr>
        <w:pStyle w:val="Normal"/>
        <w:jc w:val="center"/>
        <w:rPr>
          <w:b/>
        </w:rPr>
      </w:pPr>
      <w:r>
        <w:rPr>
          <w:b/>
        </w:rPr>
        <w:t>ENRON CORP.</w:t>
      </w:r>
    </w:p>
    <w:p>
      <w:pPr>
        <w:pStyle w:val="Heading6"/>
        <w:ind w:hanging="0" w:start="0"/>
        <w:rPr/>
      </w:pPr>
      <w:r>
        <w:rPr/>
        <w:t>NOVEMBER 2, 2001</w:t>
      </w:r>
    </w:p>
    <w:p>
      <w:pPr>
        <w:pStyle w:val="Normal"/>
        <w:jc w:val="both"/>
        <w:rPr/>
      </w:pPr>
      <w:r>
        <w:rPr/>
      </w:r>
    </w:p>
    <w:p>
      <w:pPr>
        <w:pStyle w:val="Normal"/>
        <w:ind w:firstLine="720" w:end="0"/>
        <w:jc w:val="both"/>
        <w:rPr/>
      </w:pPr>
      <w:r>
        <w:rPr/>
        <w:t xml:space="preserve">Minutes of a meeting of the Audit and Compliance Committee ("Committee") of the Board of Directors of Enron Corp. ("Company"), held pursuant to due notice at 9:00 p.m., C.S.T., on November 2, 2001 at the Enron Building, in Houston, Texas. </w:t>
      </w:r>
    </w:p>
    <w:p>
      <w:pPr>
        <w:pStyle w:val="Normal"/>
        <w:ind w:firstLine="720" w:end="0"/>
        <w:jc w:val="both"/>
        <w:rPr/>
      </w:pPr>
      <w:r>
        <w:rPr/>
      </w:r>
    </w:p>
    <w:p>
      <w:pPr>
        <w:pStyle w:val="Normal"/>
        <w:ind w:firstLine="720" w:end="0"/>
        <w:jc w:val="both"/>
        <w:rPr/>
      </w:pPr>
      <w:r>
        <w:rPr/>
        <w:t>The following Directors were present, constituting a quorum, either in person or by telephone conference connection whereby each of the participants could hear the comments and discussions by the other participants and join in the discussions, as follows::</w:t>
      </w:r>
    </w:p>
    <w:p>
      <w:pPr>
        <w:pStyle w:val="Normal"/>
        <w:jc w:val="both"/>
        <w:rPr/>
      </w:pPr>
      <w:r>
        <w:rPr/>
      </w:r>
    </w:p>
    <w:p>
      <w:pPr>
        <w:pStyle w:val="Normal"/>
        <w:jc w:val="both"/>
        <w:rPr/>
      </w:pPr>
      <w:r>
        <w:rPr/>
        <w:tab/>
        <w:tab/>
        <w:t>Dr. Robert K. Jaedicke, Chairman</w:t>
      </w:r>
    </w:p>
    <w:p>
      <w:pPr>
        <w:pStyle w:val="Normal"/>
        <w:jc w:val="both"/>
        <w:rPr/>
      </w:pPr>
      <w:r>
        <w:rPr/>
        <w:tab/>
        <w:tab/>
        <w:t>Mr. Ronnie C. Chan</w:t>
      </w:r>
    </w:p>
    <w:p>
      <w:pPr>
        <w:pStyle w:val="Normal"/>
        <w:jc w:val="both"/>
        <w:rPr/>
      </w:pPr>
      <w:r>
        <w:rPr/>
        <w:tab/>
        <w:tab/>
        <w:t>Dr. Wendy L. Gramm</w:t>
      </w:r>
    </w:p>
    <w:p>
      <w:pPr>
        <w:pStyle w:val="Normal"/>
        <w:ind w:firstLine="720" w:end="0"/>
        <w:jc w:val="both"/>
        <w:rPr/>
      </w:pPr>
      <w:r>
        <w:rPr/>
        <w:tab/>
        <w:t>Dr. John Mendelsohn</w:t>
      </w:r>
    </w:p>
    <w:p>
      <w:pPr>
        <w:pStyle w:val="Normal"/>
        <w:ind w:firstLine="720" w:start="720" w:end="0"/>
        <w:jc w:val="both"/>
        <w:rPr/>
      </w:pPr>
      <w:r>
        <w:rPr/>
        <w:t>Mr. Paulo V. Ferraz Pereira</w:t>
      </w:r>
    </w:p>
    <w:p>
      <w:pPr>
        <w:pStyle w:val="Normal"/>
        <w:ind w:firstLine="720" w:start="720" w:end="0"/>
        <w:jc w:val="both"/>
        <w:rPr/>
      </w:pPr>
      <w:r>
        <w:rPr/>
        <w:t>Lord John Wakeham</w:t>
      </w:r>
    </w:p>
    <w:p>
      <w:pPr>
        <w:pStyle w:val="Normal"/>
        <w:jc w:val="both"/>
        <w:rPr/>
      </w:pPr>
      <w:r>
        <w:rPr/>
        <w:tab/>
        <w:tab/>
      </w:r>
    </w:p>
    <w:p>
      <w:pPr>
        <w:pStyle w:val="Normal"/>
        <w:ind w:firstLine="720" w:end="0"/>
        <w:jc w:val="both"/>
        <w:rPr/>
      </w:pPr>
      <w:r>
        <w:rPr/>
        <w:t>Directors Robert A. Belfer, Kenneth L. Lay, and Charles A. LeMaistre also attended the meeting.  Messrs. Richard A. Causey and James V. Derrick, Jr. and Ms. Paula H. Rieker, all of the Company, and Messrs. David B. Duncan, John M. Riley, and D. Stephen Goddard, both of Arthur Andersen LLP (“AA”), also attended the meeting.  Director John H. Duncan joined the meeting in progress as noted below.</w:t>
      </w:r>
    </w:p>
    <w:p>
      <w:pPr>
        <w:pStyle w:val="Normal"/>
        <w:jc w:val="both"/>
        <w:rPr/>
      </w:pPr>
      <w:r>
        <w:rPr/>
      </w:r>
    </w:p>
    <w:p>
      <w:pPr>
        <w:pStyle w:val="Normal"/>
        <w:jc w:val="both"/>
        <w:rPr/>
      </w:pPr>
      <w:r>
        <w:rPr/>
        <w:tab/>
        <w:t>The Chairman, Dr. Jaedicke, presided at the meeting, and the Secretary, Ms. Rieker, recorded the proceedings.</w:t>
      </w:r>
    </w:p>
    <w:p>
      <w:pPr>
        <w:pStyle w:val="Normal"/>
        <w:jc w:val="both"/>
        <w:rPr/>
      </w:pPr>
      <w:r>
        <w:rPr/>
      </w:r>
    </w:p>
    <w:p>
      <w:pPr>
        <w:pStyle w:val="Normal"/>
        <w:jc w:val="both"/>
        <w:rPr/>
      </w:pPr>
      <w:r>
        <w:rPr/>
        <w:tab/>
        <w:t xml:space="preserve">Dr. Jaedicke called upon Mr. Causey to provide a report on certain matters summarized in an outline provided by AA, a copy of which is included in the records of the meeting.  Mr. Causey provided an update on preparation by the Company of responses to the informal inquiry by the Securities and Exchange Commission (“SEC”).  Mr. Causey reported that the Company was working with the law firm retained by the Special Committee to the Board, Wilmer, Cutler &amp; Pickering (“WC&amp;P”), to gather detailed financial information and to draft summaries of transactions referenced in the SEC inquiry.  He stated that introductory discussions had taken place with Delloite &amp; Touche, the independent accounting firm retained by WC&amp;P.  </w:t>
      </w:r>
    </w:p>
    <w:p>
      <w:pPr>
        <w:pStyle w:val="Normal"/>
        <w:jc w:val="both"/>
        <w:rPr/>
      </w:pPr>
      <w:r>
        <w:rPr/>
      </w:r>
    </w:p>
    <w:p>
      <w:pPr>
        <w:pStyle w:val="Normal"/>
        <w:ind w:firstLine="720" w:end="0"/>
        <w:jc w:val="both"/>
        <w:rPr/>
      </w:pPr>
      <w:r>
        <w:rPr/>
        <w:t xml:space="preserve">Mr. Causey also provided an update on financial reporting matters of the Company.  He stated that, although previously reviewed and deemed to be immaterial to the financial condition of the Company, AA had recently advised that the Company should restate the $1.2 billion increase in equity previously recognized related to certain of the Company’s contingent equity obligations by netting the increase with an associated note receivable, resulting in significant reductions to shareholder equity for each of the quarterly periods subsequent to and including year-end 2000.  Mr. Lay stated that the adjustment would likely have had a significantly less impact on the market value of the Company if originally taken in the periods now required to be restated.  </w:t>
      </w:r>
    </w:p>
    <w:p>
      <w:pPr>
        <w:pStyle w:val="Normal"/>
        <w:jc w:val="both"/>
        <w:rPr/>
      </w:pPr>
      <w:r>
        <w:rPr/>
      </w:r>
    </w:p>
    <w:p>
      <w:pPr>
        <w:pStyle w:val="Normal"/>
        <w:ind w:firstLine="720" w:end="0"/>
        <w:jc w:val="both"/>
        <w:rPr/>
      </w:pPr>
      <w:r>
        <w:rPr/>
        <w:t>Mr. Duncan joined the meeting.</w:t>
      </w:r>
    </w:p>
    <w:p>
      <w:pPr>
        <w:pStyle w:val="Normal"/>
        <w:ind w:firstLine="720" w:end="0"/>
        <w:jc w:val="both"/>
        <w:rPr/>
      </w:pPr>
      <w:r>
        <w:rPr/>
      </w:r>
    </w:p>
    <w:p>
      <w:pPr>
        <w:pStyle w:val="Normal"/>
        <w:ind w:firstLine="720" w:end="0"/>
        <w:jc w:val="both"/>
        <w:rPr/>
      </w:pPr>
      <w:r>
        <w:rPr/>
        <w:t xml:space="preserve">Mr. Causey reported on new facts recently learned pertaining to a special purpose entity (“SPE”) named Chewco.  He indicated that, due to the sources of Chewco’s equity contribution, Chewco was likely to be deemed to have insufficient equity to qualify for deconsolidation to the financial statements of the Company.  He further indicated that Chewco had purchased a portion of the equity in Whitewing, another SPE reported as a deconsolidated entity of the Company, and that Whitewing may have invested in other deconsolidated structures, which may also be adversely impacted if Chewco was not deemed to be an entity qualifying for deconsolidation.  A discussion ensued on the respective responsibilities of the Company and AA in validating the initial equity contributions of Chewco, the impact to the Company of potentially consolidating the structures, and the process and resources currently deployed by the Company and AA to develop and review the facts to resolve the outstanding issues.  </w:t>
      </w:r>
    </w:p>
    <w:p>
      <w:pPr>
        <w:pStyle w:val="Normal"/>
        <w:ind w:firstLine="720" w:end="0"/>
        <w:jc w:val="both"/>
        <w:rPr/>
      </w:pPr>
      <w:r>
        <w:rPr/>
      </w:r>
    </w:p>
    <w:p>
      <w:pPr>
        <w:pStyle w:val="Normal"/>
        <w:ind w:firstLine="720" w:end="0"/>
        <w:jc w:val="both"/>
        <w:rPr/>
      </w:pPr>
      <w:r>
        <w:rPr/>
        <w:t>Mr. Causey then advised the Committee that AA had made an error in accounting judgment previously provided to the Company related to a transaction executed in 1999 with LJM1, a partnership managed by a party related to the Company.  He indicated that AA had recently determined that a subsidiary of LJM did not have adequate equity to support the obligations of the transaction and now strongly believed that the transactions should be reviewed for restatement.  A discussion ensued on reliance by the Company on the prior judgment of AA regarding the transaction, the significant time lapse since the initial judgment, and the potential impact of the changed judgment on the schedule for filing the third quarter Form 10Q with the SEC.</w:t>
      </w:r>
    </w:p>
    <w:p>
      <w:pPr>
        <w:pStyle w:val="Normal"/>
        <w:ind w:firstLine="720" w:end="0"/>
        <w:jc w:val="both"/>
        <w:rPr/>
      </w:pPr>
      <w:r>
        <w:rPr/>
      </w:r>
    </w:p>
    <w:p>
      <w:pPr>
        <w:pStyle w:val="Normal"/>
        <w:ind w:firstLine="720" w:end="0"/>
        <w:jc w:val="both"/>
        <w:rPr/>
      </w:pPr>
      <w:r>
        <w:rPr/>
        <w:t xml:space="preserve">Mr. Duncan then reviewed AA’s work plan related to reviews of the Company’s financial statements, including preparation of responses to the SEC inquiry, completion of opinions required for the Company to close new revolving credit facilities for Northern Natural Gas Company and Transwestern Pipeline Company, additional reviews of SPE’s planned for the third quarter audit, continuance of work on the annual audit, and review of the Company’s financial liquidity and capitalization.  Mr. Goddard commented on an article expected in the next day’s edition of The Wall Street Journal regarding AA.  </w:t>
      </w:r>
    </w:p>
    <w:p>
      <w:pPr>
        <w:pStyle w:val="Normal"/>
        <w:ind w:firstLine="720" w:end="0"/>
        <w:jc w:val="both"/>
        <w:rPr/>
      </w:pPr>
      <w:r>
        <w:rPr/>
      </w:r>
    </w:p>
    <w:p>
      <w:pPr>
        <w:pStyle w:val="Normal"/>
        <w:ind w:firstLine="720" w:end="0"/>
        <w:jc w:val="both"/>
        <w:rPr/>
      </w:pPr>
      <w:r>
        <w:rPr/>
        <w:t>A discussion ensued regarding the importance of regular communications between management, AA, and the Committee, in providing adequate time to properly review the Form 10Q for the third quarter, and in responding fully to the SEC inquiry.</w:t>
      </w:r>
    </w:p>
    <w:p>
      <w:pPr>
        <w:pStyle w:val="Normal"/>
        <w:jc w:val="both"/>
        <w:rPr/>
      </w:pPr>
      <w:r>
        <w:rPr/>
      </w:r>
    </w:p>
    <w:p>
      <w:pPr>
        <w:pStyle w:val="Normal"/>
        <w:ind w:firstLine="720" w:end="0"/>
        <w:jc w:val="both"/>
        <w:rPr/>
      </w:pPr>
      <w:r>
        <w:rPr/>
        <w:t>There being no further business to come before the Committee, the meeting was adjourned at 9:40 p.m., C.S.T.</w:t>
      </w:r>
    </w:p>
    <w:p>
      <w:pPr>
        <w:pStyle w:val="Normal"/>
        <w:ind w:firstLine="720" w:end="0"/>
        <w:jc w:val="both"/>
        <w:rPr/>
      </w:pPr>
      <w:r>
        <w:rPr/>
      </w:r>
    </w:p>
    <w:p>
      <w:pPr>
        <w:pStyle w:val="Normal"/>
        <w:jc w:val="both"/>
        <w:rPr/>
      </w:pPr>
      <w:r>
        <w:rPr/>
        <w:tab/>
        <w:tab/>
        <w:tab/>
        <w:tab/>
        <w:tab/>
        <w:tab/>
        <w:tab/>
        <w:tab/>
        <w:tab/>
        <w:tab/>
        <w:tab/>
        <w:tab/>
        <w:tab/>
        <w:tab/>
        <w:tab/>
        <w:tab/>
        <w:tab/>
        <w:tab/>
        <w:tab/>
        <w:t>___________________________</w:t>
      </w:r>
    </w:p>
    <w:p>
      <w:pPr>
        <w:pStyle w:val="Normal"/>
        <w:jc w:val="both"/>
        <w:rPr/>
      </w:pPr>
      <w:r>
        <w:rPr/>
        <w:tab/>
        <w:tab/>
        <w:tab/>
        <w:tab/>
        <w:tab/>
        <w:tab/>
        <w:tab/>
        <w:t>Secretary</w:t>
      </w:r>
    </w:p>
    <w:p>
      <w:pPr>
        <w:pStyle w:val="Normal"/>
        <w:jc w:val="both"/>
        <w:rPr/>
      </w:pPr>
      <w:r>
        <w:rPr/>
      </w:r>
    </w:p>
    <w:p>
      <w:pPr>
        <w:pStyle w:val="Normal"/>
        <w:jc w:val="both"/>
        <w:rPr/>
      </w:pPr>
      <w:r>
        <w:rPr/>
        <w:t>APPROVED:</w:t>
      </w:r>
    </w:p>
    <w:p>
      <w:pPr>
        <w:pStyle w:val="Normal"/>
        <w:jc w:val="both"/>
        <w:rPr/>
      </w:pPr>
      <w:r>
        <w:rPr/>
      </w:r>
    </w:p>
    <w:p>
      <w:pPr>
        <w:pStyle w:val="Normal"/>
        <w:jc w:val="both"/>
        <w:rPr/>
      </w:pPr>
      <w:r>
        <w:rPr/>
      </w:r>
    </w:p>
    <w:p>
      <w:pPr>
        <w:pStyle w:val="Normal"/>
        <w:jc w:val="both"/>
        <w:rPr/>
      </w:pPr>
      <w:r>
        <w:rPr/>
      </w:r>
    </w:p>
    <w:p>
      <w:pPr>
        <w:pStyle w:val="Normal"/>
        <w:jc w:val="both"/>
        <w:rPr/>
      </w:pPr>
      <w:r>
        <w:rPr/>
        <w:t>__________________________________</w:t>
      </w:r>
    </w:p>
    <w:p>
      <w:pPr>
        <w:pStyle w:val="Heading3"/>
        <w:ind w:hanging="0" w:start="0"/>
        <w:rPr/>
      </w:pPr>
      <w:r>
        <w:rPr/>
        <w:t>Chairman</w:t>
      </w:r>
    </w:p>
    <w:p>
      <w:pPr>
        <w:pStyle w:val="Normal"/>
        <w:rPr/>
      </w:pPr>
      <w:r>
        <w:rPr/>
      </w:r>
    </w:p>
    <w:p>
      <w:pPr>
        <w:pStyle w:val="Normal"/>
        <w:rPr>
          <w:sz w:val="18"/>
        </w:rPr>
      </w:pPr>
      <w:r>
        <w:rPr>
          <w:sz w:val="18"/>
        </w:rPr>
        <w:fldChar w:fldCharType="begin"/>
      </w:r>
      <w:r>
        <w:rPr>
          <w:sz w:val="18"/>
        </w:rPr>
        <w:instrText xml:space="preserve"> FILENAME \p </w:instrText>
      </w:r>
      <w:r>
        <w:rPr>
          <w:sz w:val="18"/>
        </w:rPr>
        <w:fldChar w:fldCharType="separate"/>
      </w:r>
      <w:r>
        <w:rPr>
          <w:sz w:val="18"/>
        </w:rPr>
        <w:t>/mnt/main-storage/datasets/enron-docs/doc/110201a.doc</w:t>
      </w:r>
      <w:r>
        <w:rPr>
          <w:sz w:val="18"/>
        </w:rPr>
        <w:fldChar w:fldCharType="end"/>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paragraph" w:styleId="Heading3">
    <w:name w:val="heading 3"/>
    <w:basedOn w:val="Normal"/>
    <w:next w:val="Normal"/>
    <w:qFormat/>
    <w:pPr>
      <w:keepNext w:val="true"/>
      <w:numPr>
        <w:ilvl w:val="2"/>
        <w:numId w:val="1"/>
      </w:numPr>
      <w:jc w:val="both"/>
      <w:outlineLvl w:val="2"/>
    </w:pPr>
    <w:rPr/>
  </w:style>
  <w:style w:type="paragraph" w:styleId="Heading6">
    <w:name w:val="heading 6"/>
    <w:basedOn w:val="Normal"/>
    <w:next w:val="Normal"/>
    <w:qFormat/>
    <w:pPr>
      <w:keepNext w:val="true"/>
      <w:numPr>
        <w:ilvl w:val="5"/>
        <w:numId w:val="1"/>
      </w:numPr>
      <w:jc w:val="center"/>
      <w:outlineLvl w:val="5"/>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before="240" w:after="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odyTextIndent">
    <w:name w:val="Body Text Indent"/>
    <w:basedOn w:val="Normal"/>
    <w:pPr>
      <w:ind w:firstLine="720" w:start="0" w:end="0"/>
      <w:jc w:val="both"/>
    </w:pPr>
    <w:rPr/>
  </w:style>
  <w:style w:type="paragraph" w:styleId="BodyTextIndent2">
    <w:name w:val="Body Text Indent 2"/>
    <w:basedOn w:val="Normal"/>
    <w:qFormat/>
    <w:pPr>
      <w:ind w:firstLine="720" w:start="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2001-11-09T18:31:00Z</dcterms:created>
  <dc:creator>kjohnso</dc:creator>
  <dc:description/>
  <dc:language>en-CA</dc:language>
  <cp:lastModifiedBy>Paula Rieker</cp:lastModifiedBy>
  <cp:lastPrinted>2001-11-09T13:39:00Z</cp:lastPrinted>
  <dcterms:modified xsi:type="dcterms:W3CDTF">2001-11-09T18:35:00Z</dcterms:modified>
  <cp:revision>3</cp:revision>
  <dc:subject/>
  <dc:title>MINUTES</dc:title>
</cp:coreProperties>
</file>