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szCs w:val="22"/>
        </w:rPr>
      </w:pPr>
      <w:r>
        <w:rPr>
          <w:sz w:val="22"/>
          <w:szCs w:val="22"/>
        </w:rPr>
        <w:t>FORM CONFIDENTIALITY AGREEMENT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szCs w:val="22"/>
        </w:rPr>
      </w:pPr>
      <w:r>
        <w:rPr>
          <w:sz w:val="22"/>
          <w:szCs w:val="22"/>
        </w:rPr>
        <w:t>Short Form - Unilateral in favor of Counterparty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szCs w:val="22"/>
        </w:rPr>
      </w:pPr>
      <w:r>
        <w:rPr>
          <w:sz w:val="22"/>
          <w:szCs w:val="22"/>
        </w:rPr>
        <w:t>Revised February 25, 1998</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t>[DATE]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u w:val="single"/>
        </w:rPr>
      </w:pPr>
      <w:r>
        <w:rPr>
          <w:sz w:val="22"/>
          <w:szCs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u w:val="single"/>
        </w:rPr>
      </w:pPr>
      <w:r>
        <w:rPr>
          <w:sz w:val="22"/>
          <w:szCs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__________________________ (the "Disclosing Party") is prepared to furnish Enron Capital &amp; Trade Resources Corp. ("ECT") with information in connection with a proposed financing (the "Transaction") relating to certain oil and gas properties located in _________________ (the "Subject Properties"), which information is confidential or otherwise generally not available to the public (the "Confidential Information").  The term "Confidential Information" shall not include any such information (a) as is or may become generally available to the public, (b) is known to ECT at the time of disclosure or is thereafter acquired from a source other than the Disclosing Party that was not known to ECT to be prohibited from making disclosure, or (c) is hereafter independently developed by ECT.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As a condition to the Disclosing Party furnishing the Confidential Information to ECT and ECT agreeing to receive the Confidential Information, ECT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ECT will not disclose the Confidential Information furnished to it pursuant to this agreement without the prior written consent of the Disclosing Party, other than to ECT's directors, officers, and employees, as well as those individual representatives, lenders, counsel and affiliates, and each of their respective individual directors, officers, employees, representatives, lenders, counsel and affiliates, if any, to whom ECT desires to disclose such Confidential Information for purposes of evaluation, negotiation or consummation of the proposed Transaction (those individuals who are directly or indirectly furnished Confidential Information by ECT are collectively referred to herein as the "Representatives").  ECT may also disclose the Confidential Information in order to comply with any applicable law, order, regulation or ruling.  Except as otherwise provided herein, ECT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The Confidential Information that is written, except for that portion that may be found in analyses, compilations, studies or other documents prepared by or for ECT, will be returned to the Disclosing Party immediately upon the Disclosing Party's request and no copies shall be retained by ECT or the Representatives.  That portion of the Confidential Information that is found in analyses, compilations, studies or other documents prepared by or for ECT, the Confidential Information that is oral and the Confidential Information that is not so requested or returned will be held by ECT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ECT understands that the Disclosing Party will endeavor to include in the information ECT is furnished materials that the Disclosing Party believes to be reliable and relevant for the purpose of ECT's evaluation, that the Disclosing Party does not make any representation or warranty as to the accuracy or completeness of any information that is so provided, and the Disclosing Party shall not have any liability to ECT or the Representatives resulting from the use of such information by ECT or the Representatives.  For purposes of this section 3, "information" is deemed to include all information furnished to ECT.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[ECT has a number of affiliates (collectively, the "ECT Affiliates"), including, but not limited to, the entities listed on Schedule I hereto, that are engaged in the exploration, development and production of oil and gas and other activities that may be competitive with the Disclosing Party.  It is possible that certain of the ECT Affiliates may submit a bid for, or otherwise attempt to acquire, the Subject Properties and may seek financing for such an acquisition from ECT.  In addition, ECT may currently be reviewing, or may in the future review, data provided by ECT Affiliates or by other parties proposing to submit a bid for the Subject Properties, and ECT might provide funding to such ECT Affiliate or other party.  If ECT reviews data from an ECT Affiliate or other party relating to the Subject Properties, then ECT will implement certain Chinese wall procedures.  These procedures are intended to limit information received from each party, including the Disclosing Party, ECT Affiliates and other parties, to members of a team comprised of employees of ECT that will interact with only one party with respect to the pending bid for the Subject Properties.  Members of each team will be reporting to certain senior members (the "Senior Members") of various function groups, including Engineering, Underwriting, Capital Markets, Risk Analytics/Portfolio Management, Legal, Tax, Accounting, Reporting and Commercial, regarding ECT's possible financing or other involvement with one or more parties in connection with the Subject Properties.  The Senior Members will be responsible for deciding whether to approve the Transaction and will likely be in possession of confidential information relating to bids for the Subject Properties from a number of potential bidders, including the Disclosing Party and one or more ECT Affiliates. The Senior Members will not share confidential information, including the proposed bid amount, of one party with another party or the team members of any other party (although a team may learn that other teams are working with other parties with respect to the Subject Properties).  Certain of the Senior Members serve as directors of ECT Affiliates.  If a Senior Member is acting upon a requested financing for the Disclosing Party and if an ECT Affiliate upon whose board of directors such Senior Member serves is also bidding on the Subject Properties, then the Senior Member will recuse himself or herself from such board of director deliberations relating to such bid, but will continue to fulfill his or her duties as a Senior Member.  As a result of ECT'</w:t>
      </w:r>
      <w:bookmarkStart w:id="0" w:name="BM_1_"/>
      <w:bookmarkEnd w:id="0"/>
      <w:r>
        <w:rPr>
          <w:sz w:val="22"/>
          <w:szCs w:val="22"/>
        </w:rPr>
        <w:t xml:space="preserve">s use of separate teams and other circumstances, ECT may value or otherwise evaluate the Subject Properties differently for the Disclosing Party compared to its valuation or other evaluation for ECT Affiliates or other parties.  The Disclosing Party acknowledges and agrees that ECT may act in the manner described in this paragraph, and the Disclosing Party waives any conflicts of interest that arise as a result of the procedures and facts discussed in this paragraph.  In addition, the Disclosing Party also acknowledges that ECT may terminate its discussions with the Disclosing Party at any time prior to the execution of a written definitive financing agreement.  If the discussions are terminated, ECT will continue to be bound by the confidentiality provisions herein but will not have any other obligation to the Disclosing Party, including any obligation to provide any financing, and may continue to assist ECT Affiliates and other parties with respect to the Subject Properties.]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Disclosing Party and ECT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numPr>
          <w:ilvl w:val="0"/>
          <w:numId w:val="1"/>
        </w:numPr>
        <w:tabs>
          <w:tab w:val="left" w:pos="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t>The provisions of Sections 1 and 2 hereof shall terminate on the date one year from the date of this letter.</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szCs w:val="22"/>
        </w:rPr>
      </w:pPr>
      <w:r>
        <w:rPr>
          <w:sz w:val="22"/>
          <w:szCs w:val="22"/>
        </w:rPr>
        <w:t xml:space="preserve">ENRON CAPITAL &amp; TRADE RESOURCES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szCs w:val="22"/>
        </w:rPr>
      </w:pPr>
      <w:r>
        <w:rPr>
          <w:sz w:val="22"/>
          <w:szCs w:val="22"/>
        </w:rPr>
        <w:t>By:</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szCs w:val="22"/>
        </w:rPr>
      </w:pPr>
      <w:r>
        <w:rPr>
          <w:sz w:val="22"/>
          <w:szCs w:val="22"/>
        </w:rPr>
        <w:t>Name:</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szCs w:val="22"/>
        </w:rPr>
      </w:pPr>
      <w:r>
        <w:rPr>
          <w:sz w:val="22"/>
          <w:szCs w:val="22"/>
        </w:rPr>
        <w:t>Title:</w:t>
      </w:r>
      <w:r>
        <w:rPr>
          <w:sz w:val="22"/>
          <w:szCs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szCs w:val="22"/>
        </w:rPr>
      </w:pPr>
      <w:r>
        <w:rPr>
          <w:sz w:val="22"/>
          <w:szCs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szCs w:val="22"/>
        </w:rPr>
      </w:pPr>
      <w:r>
        <w:rPr>
          <w:sz w:val="22"/>
          <w:szCs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rPr>
      </w:pPr>
      <w:r>
        <w:rPr>
          <w:sz w:val="22"/>
          <w:szCs w:val="22"/>
        </w:rPr>
        <w:t>By:</w:t>
      </w:r>
      <w:r>
        <w:rPr>
          <w:sz w:val="22"/>
          <w:szCs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rPr>
      </w:pPr>
      <w:r>
        <w:rPr>
          <w:sz w:val="22"/>
          <w:szCs w:val="22"/>
        </w:rPr>
        <w:t>Name:</w:t>
      </w:r>
      <w:r>
        <w:rPr>
          <w:sz w:val="22"/>
          <w:szCs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sz w:val="22"/>
          <w:szCs w:val="22"/>
        </w:rPr>
        <w:t>Title:</w:t>
      </w:r>
      <w:r>
        <w:rPr>
          <w:sz w:val="22"/>
          <w:szCs w:val="22"/>
          <w:u w:val="single"/>
        </w:rPr>
        <w:tab/>
        <w:tab/>
        <w:tab/>
        <w:tab/>
        <w:tab/>
      </w:r>
      <w:r>
        <w:br w:type="page"/>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szCs w:val="22"/>
          <w:u w:val="single"/>
        </w:rPr>
      </w:pPr>
      <w:r>
        <w:rPr>
          <w:sz w:val="22"/>
          <w:szCs w:val="22"/>
          <w:u w:val="single"/>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t>SCHEDULE I</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t>CERTAIN AFFILIATES OF ECT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CGAS,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t>Mariner Energy,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szCs w:val="22"/>
        </w:rPr>
      </w:pPr>
      <w:r>
        <w:rPr>
          <w:sz w:val="22"/>
          <w:szCs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/mnt/main-storage/datasets/enron-docs/doc/1100_1.doc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_________ ___, 19__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Times New Roman" w:hAnsi="Tms Rmn;Times New Roman" w:eastAsia="Tms Rmn;Times New Roman" w:cs="Tms Rmn;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1998-03-02T13:59:00Z</dcterms:created>
  <dc:creator>ECT</dc:creator>
  <dc:description/>
  <dc:language>en-CA</dc:language>
  <cp:lastModifiedBy>ECT</cp:lastModifiedBy>
  <cp:lastPrinted>1998-03-02T11:28:00Z</cp:lastPrinted>
  <dcterms:modified xsi:type="dcterms:W3CDTF">1998-05-13T16:34:00Z</dcterms:modified>
  <cp:revision>5</cp:revision>
  <dc:subject/>
  <dc:title>FORM CONFIDENTIALITY AGREEMENT</dc:title>
</cp:coreProperties>
</file>