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b/>
        </w:rPr>
      </w:pPr>
      <w:r>
        <w:rPr>
          <w:b/>
        </w:rPr>
        <w:t>ISO Market Simulation</w:t>
      </w:r>
    </w:p>
    <w:p>
      <w:pPr>
        <w:pStyle w:val="Normal"/>
        <w:rPr>
          <w:b/>
        </w:rPr>
      </w:pPr>
      <w:r>
        <w:rPr>
          <w:b/>
        </w:rPr>
        <w:t>10-Minute Settlements</w:t>
      </w:r>
    </w:p>
    <w:p>
      <w:pPr>
        <w:pStyle w:val="Header"/>
        <w:tabs>
          <w:tab w:val="clear" w:pos="4320"/>
          <w:tab w:val="clear" w:pos="8640"/>
        </w:tabs>
        <w:rPr/>
      </w:pPr>
      <w:r>
        <w:rPr/>
        <w:t>July 31 – August 11, 2000</w:t>
      </w:r>
    </w:p>
    <w:p>
      <w:pPr>
        <w:pStyle w:val="Normal"/>
        <w:rPr/>
      </w:pPr>
      <w:r>
        <w:rPr/>
      </w:r>
    </w:p>
    <w:p>
      <w:pPr>
        <w:pStyle w:val="Normal"/>
        <w:rPr/>
      </w:pPr>
      <w:r>
        <w:rPr/>
        <w:t>Conference Bridge:  1-888-837-2407  Passcode:  164517</w:t>
      </w:r>
    </w:p>
    <w:p>
      <w:pPr>
        <w:pStyle w:val="Normal"/>
        <w:rPr/>
      </w:pPr>
      <w:r>
        <w:rPr/>
        <w:t>Beginning 0900 PDT everyday of simulation</w:t>
      </w:r>
    </w:p>
    <w:p>
      <w:pPr>
        <w:pStyle w:val="Normal"/>
        <w:rPr/>
      </w:pPr>
      <w:r>
        <w:rPr/>
      </w:r>
    </w:p>
    <w:p>
      <w:pPr>
        <w:pStyle w:val="Heading1"/>
        <w:rPr>
          <w:sz w:val="24"/>
        </w:rPr>
      </w:pPr>
      <w:r>
        <w:rPr>
          <w:sz w:val="24"/>
        </w:rPr>
        <w:t>Test Plan and Script</w:t>
      </w:r>
    </w:p>
    <w:p>
      <w:pPr>
        <w:pStyle w:val="Normal"/>
        <w:rPr>
          <w:sz w:val="20"/>
        </w:rPr>
      </w:pPr>
      <w:r>
        <w:rPr>
          <w:sz w:val="20"/>
        </w:rPr>
      </w:r>
    </w:p>
    <w:p>
      <w:pPr>
        <w:pStyle w:val="Heading1"/>
        <w:rPr/>
      </w:pPr>
      <w:r>
        <w:rPr/>
        <w:t>Monday, July 31, 2000</w:t>
      </w:r>
    </w:p>
    <w:p>
      <w:pPr>
        <w:pStyle w:val="Normal"/>
        <w:rPr>
          <w:sz w:val="20"/>
        </w:rPr>
      </w:pPr>
      <w:r>
        <w:rPr>
          <w:sz w:val="20"/>
        </w:rPr>
      </w:r>
    </w:p>
    <w:p>
      <w:pPr>
        <w:pStyle w:val="Heading4"/>
        <w:rPr/>
      </w:pPr>
      <w:r>
        <w:rPr/>
        <w:t>Tasks</w:t>
      </w:r>
    </w:p>
    <w:p>
      <w:pPr>
        <w:pStyle w:val="Normal"/>
        <w:numPr>
          <w:ilvl w:val="0"/>
          <w:numId w:val="7"/>
        </w:numPr>
        <w:rPr>
          <w:sz w:val="20"/>
        </w:rPr>
      </w:pPr>
      <w:r>
        <w:rPr>
          <w:sz w:val="20"/>
        </w:rPr>
        <w:t>ADS connectivity setup for all test participants</w:t>
      </w:r>
    </w:p>
    <w:p>
      <w:pPr>
        <w:pStyle w:val="Normal"/>
        <w:numPr>
          <w:ilvl w:val="0"/>
          <w:numId w:val="7"/>
        </w:numPr>
        <w:rPr>
          <w:sz w:val="20"/>
        </w:rPr>
      </w:pPr>
      <w:r>
        <w:rPr>
          <w:sz w:val="20"/>
        </w:rPr>
        <w:t xml:space="preserve">Test connectivity to SI Test System </w:t>
      </w:r>
    </w:p>
    <w:p>
      <w:pPr>
        <w:pStyle w:val="Normal"/>
        <w:numPr>
          <w:ilvl w:val="0"/>
          <w:numId w:val="7"/>
        </w:numPr>
        <w:rPr>
          <w:sz w:val="20"/>
        </w:rPr>
      </w:pPr>
      <w:r>
        <w:rPr>
          <w:sz w:val="20"/>
        </w:rPr>
        <w:t>ISO issues SC passwords for SI</w:t>
      </w:r>
    </w:p>
    <w:p>
      <w:pPr>
        <w:pStyle w:val="Normal"/>
        <w:numPr>
          <w:ilvl w:val="0"/>
          <w:numId w:val="7"/>
        </w:numPr>
        <w:rPr>
          <w:sz w:val="20"/>
        </w:rPr>
      </w:pPr>
      <w:r>
        <w:rPr>
          <w:sz w:val="20"/>
        </w:rPr>
        <w:t>Q&amp;A</w:t>
      </w:r>
    </w:p>
    <w:p>
      <w:pPr>
        <w:pStyle w:val="Normal"/>
        <w:numPr>
          <w:ilvl w:val="0"/>
          <w:numId w:val="7"/>
        </w:numPr>
        <w:rPr>
          <w:sz w:val="20"/>
        </w:rPr>
      </w:pPr>
      <w:r>
        <w:rPr>
          <w:sz w:val="20"/>
        </w:rPr>
        <w:t>By 1700 today, send Meter Ids to which SC's will submit data to Leslie Feusi via e-mail (need Bus Assoc ID/Short Name, Resource Id or MSID)</w:t>
      </w:r>
    </w:p>
    <w:p>
      <w:pPr>
        <w:pStyle w:val="Normal"/>
        <w:rPr>
          <w:sz w:val="20"/>
        </w:rPr>
      </w:pPr>
      <w:r>
        <w:rPr>
          <w:sz w:val="20"/>
        </w:rPr>
      </w:r>
    </w:p>
    <w:p>
      <w:pPr>
        <w:pStyle w:val="Heading1"/>
        <w:rPr/>
      </w:pPr>
      <w:r>
        <w:rPr/>
        <w:t>Tuesday, August 1, 2000</w:t>
      </w:r>
    </w:p>
    <w:p>
      <w:pPr>
        <w:pStyle w:val="Normal"/>
        <w:rPr>
          <w:sz w:val="20"/>
        </w:rPr>
      </w:pPr>
      <w:r>
        <w:rPr>
          <w:sz w:val="20"/>
        </w:rPr>
      </w:r>
    </w:p>
    <w:p>
      <w:pPr>
        <w:pStyle w:val="Heading4"/>
        <w:rPr/>
      </w:pPr>
      <w:r>
        <w:rPr/>
        <w:t>Scenarios</w:t>
      </w:r>
    </w:p>
    <w:p>
      <w:pPr>
        <w:pStyle w:val="Heading3"/>
        <w:rPr/>
      </w:pPr>
      <w:r>
        <w:rPr/>
        <w:t>Day Ahead</w:t>
      </w:r>
    </w:p>
    <w:p>
      <w:pPr>
        <w:pStyle w:val="Normal"/>
        <w:numPr>
          <w:ilvl w:val="0"/>
          <w:numId w:val="2"/>
        </w:numPr>
        <w:rPr>
          <w:sz w:val="20"/>
        </w:rPr>
      </w:pPr>
      <w:r>
        <w:rPr>
          <w:sz w:val="20"/>
        </w:rPr>
        <w:t>DA RMR Pre-dispatches for trade day August 2 communicated verbally to SC</w:t>
      </w:r>
    </w:p>
    <w:p>
      <w:pPr>
        <w:pStyle w:val="Normal"/>
        <w:numPr>
          <w:ilvl w:val="0"/>
          <w:numId w:val="2"/>
        </w:numPr>
        <w:rPr>
          <w:sz w:val="20"/>
        </w:rPr>
      </w:pPr>
      <w:r>
        <w:rPr>
          <w:sz w:val="20"/>
        </w:rPr>
        <w:t>Day Ahead market run for trade day August 2</w:t>
      </w:r>
    </w:p>
    <w:p>
      <w:pPr>
        <w:pStyle w:val="Normal"/>
        <w:rPr>
          <w:sz w:val="20"/>
        </w:rPr>
      </w:pPr>
      <w:r>
        <w:rPr>
          <w:sz w:val="20"/>
        </w:rPr>
      </w:r>
    </w:p>
    <w:p>
      <w:pPr>
        <w:pStyle w:val="Heading3"/>
        <w:rPr/>
      </w:pPr>
      <w:r>
        <w:rPr/>
        <w:t>Hour Ahead</w:t>
      </w:r>
    </w:p>
    <w:p>
      <w:pPr>
        <w:pStyle w:val="Normal"/>
        <w:numPr>
          <w:ilvl w:val="0"/>
          <w:numId w:val="8"/>
        </w:numPr>
        <w:rPr>
          <w:sz w:val="20"/>
        </w:rPr>
      </w:pPr>
      <w:r>
        <w:rPr>
          <w:sz w:val="20"/>
        </w:rPr>
        <w:t>SC’s may submit 24-hour hour ahead schedules for trade day August 2</w:t>
      </w:r>
    </w:p>
    <w:p>
      <w:pPr>
        <w:pStyle w:val="Normal"/>
        <w:rPr>
          <w:sz w:val="20"/>
        </w:rPr>
      </w:pPr>
      <w:r>
        <w:rPr>
          <w:sz w:val="20"/>
        </w:rPr>
      </w:r>
    </w:p>
    <w:p>
      <w:pPr>
        <w:pStyle w:val="Heading3"/>
        <w:rPr/>
      </w:pPr>
      <w:r>
        <w:rPr/>
        <w:t>Real Time</w:t>
      </w:r>
    </w:p>
    <w:p>
      <w:pPr>
        <w:pStyle w:val="Normal"/>
        <w:numPr>
          <w:ilvl w:val="0"/>
          <w:numId w:val="3"/>
        </w:numPr>
        <w:rPr>
          <w:sz w:val="20"/>
        </w:rPr>
      </w:pPr>
      <w:r>
        <w:rPr>
          <w:sz w:val="20"/>
        </w:rPr>
        <w:t>SC’s may submit 24-hour supplemental energy bids for generators, loads and interties for trade day August 2</w:t>
      </w:r>
    </w:p>
    <w:p>
      <w:pPr>
        <w:pStyle w:val="Normal"/>
        <w:rPr>
          <w:sz w:val="20"/>
        </w:rPr>
      </w:pPr>
      <w:r>
        <w:rPr>
          <w:sz w:val="20"/>
        </w:rPr>
      </w:r>
    </w:p>
    <w:p>
      <w:pPr>
        <w:pStyle w:val="Normal"/>
        <w:rPr>
          <w:i/>
          <w:i/>
          <w:sz w:val="20"/>
        </w:rPr>
      </w:pPr>
      <w:r>
        <w:rPr>
          <w:i/>
          <w:sz w:val="20"/>
        </w:rPr>
        <w:t>SC Data Requirements:</w:t>
      </w:r>
    </w:p>
    <w:p>
      <w:pPr>
        <w:pStyle w:val="Normal"/>
        <w:numPr>
          <w:ilvl w:val="0"/>
          <w:numId w:val="6"/>
        </w:numPr>
        <w:tabs>
          <w:tab w:val="clear" w:pos="720"/>
          <w:tab w:val="left" w:pos="1080" w:leader="none"/>
        </w:tabs>
        <w:jc w:val="both"/>
        <w:rPr>
          <w:sz w:val="20"/>
        </w:rPr>
      </w:pPr>
      <w:r>
        <w:rPr>
          <w:sz w:val="20"/>
        </w:rPr>
        <w:t>Balanced Energy schedules</w:t>
      </w:r>
    </w:p>
    <w:p>
      <w:pPr>
        <w:pStyle w:val="Normal"/>
        <w:numPr>
          <w:ilvl w:val="0"/>
          <w:numId w:val="6"/>
        </w:numPr>
        <w:tabs>
          <w:tab w:val="clear" w:pos="720"/>
          <w:tab w:val="left" w:pos="1080" w:leader="none"/>
        </w:tabs>
        <w:jc w:val="both"/>
        <w:rPr>
          <w:sz w:val="20"/>
        </w:rPr>
      </w:pPr>
      <w:r>
        <w:rPr>
          <w:sz w:val="20"/>
        </w:rPr>
        <w:t>Inter-SC trades (</w:t>
      </w:r>
      <w:r>
        <w:rPr>
          <w:b/>
          <w:sz w:val="20"/>
          <w:u w:val="single"/>
        </w:rPr>
        <w:t>only</w:t>
      </w:r>
      <w:r>
        <w:rPr>
          <w:sz w:val="20"/>
        </w:rPr>
        <w:t xml:space="preserve"> if coordinated with other Market Simulation participants)</w:t>
      </w:r>
    </w:p>
    <w:p>
      <w:pPr>
        <w:pStyle w:val="Normal"/>
        <w:numPr>
          <w:ilvl w:val="0"/>
          <w:numId w:val="6"/>
        </w:numPr>
        <w:tabs>
          <w:tab w:val="clear" w:pos="720"/>
          <w:tab w:val="left" w:pos="1080" w:leader="none"/>
        </w:tabs>
        <w:jc w:val="both"/>
        <w:rPr>
          <w:sz w:val="20"/>
        </w:rPr>
      </w:pPr>
      <w:r>
        <w:rPr>
          <w:sz w:val="20"/>
        </w:rPr>
        <w:t>Regulation Up, Regulation Down, Spin, Non-spin and Replacement bids for units, loads and interties</w:t>
      </w:r>
    </w:p>
    <w:p>
      <w:pPr>
        <w:pStyle w:val="Normal"/>
        <w:rPr>
          <w:sz w:val="20"/>
        </w:rPr>
      </w:pPr>
      <w:r>
        <w:rPr>
          <w:sz w:val="20"/>
        </w:rPr>
      </w:r>
    </w:p>
    <w:p>
      <w:pPr>
        <w:pStyle w:val="Normal"/>
        <w:rPr/>
      </w:pPr>
      <w:r>
        <w:rPr/>
        <w:t>*Beginning at 1200, SC’s may submit Meter data to test system MDAS for Trade Days 8/2 and 8/3.</w:t>
      </w:r>
    </w:p>
    <w:tbl>
      <w:tblPr>
        <w:tblW w:w="8687" w:type="dxa"/>
        <w:jc w:val="start"/>
        <w:tblInd w:w="0" w:type="dxa"/>
        <w:tblLayout w:type="fixed"/>
        <w:tblCellMar>
          <w:top w:w="0" w:type="dxa"/>
          <w:start w:w="108" w:type="dxa"/>
          <w:bottom w:w="0" w:type="dxa"/>
          <w:end w:w="108" w:type="dxa"/>
        </w:tblCellMar>
      </w:tblPr>
      <w:tblGrid>
        <w:gridCol w:w="1368"/>
        <w:gridCol w:w="5130"/>
        <w:gridCol w:w="1530"/>
        <w:gridCol w:w="659"/>
      </w:tblGrid>
      <w:tr>
        <w:trPr>
          <w:tblHeader w:val="true"/>
        </w:trPr>
        <w:tc>
          <w:tcPr>
            <w:tcW w:w="1368" w:type="dxa"/>
            <w:tcBorders>
              <w:top w:val="single" w:sz="4" w:space="0" w:color="000000"/>
              <w:start w:val="single" w:sz="4" w:space="0" w:color="000000"/>
              <w:bottom w:val="single" w:sz="4" w:space="0" w:color="000000"/>
              <w:end w:val="single" w:sz="4" w:space="0" w:color="000000"/>
            </w:tcBorders>
            <w:shd w:fill="BFBFBF" w:val="clear"/>
          </w:tcPr>
          <w:p>
            <w:pPr>
              <w:pStyle w:val="Normal"/>
              <w:rPr>
                <w:b/>
                <w:sz w:val="20"/>
              </w:rPr>
            </w:pPr>
            <w:r>
              <w:rPr>
                <w:b/>
                <w:sz w:val="20"/>
              </w:rPr>
              <w:t>Time</w:t>
            </w:r>
          </w:p>
        </w:tc>
        <w:tc>
          <w:tcPr>
            <w:tcW w:w="5130" w:type="dxa"/>
            <w:tcBorders>
              <w:top w:val="single" w:sz="4" w:space="0" w:color="000000"/>
              <w:start w:val="single" w:sz="4" w:space="0" w:color="000000"/>
              <w:bottom w:val="single" w:sz="4" w:space="0" w:color="000000"/>
              <w:end w:val="single" w:sz="4" w:space="0" w:color="000000"/>
            </w:tcBorders>
            <w:shd w:fill="BFBFBF" w:val="clear"/>
          </w:tcPr>
          <w:p>
            <w:pPr>
              <w:pStyle w:val="Heading1"/>
              <w:rPr>
                <w:b w:val="false"/>
              </w:rPr>
            </w:pPr>
            <w:r>
              <w:rPr/>
              <w:t>Task</w:t>
            </w:r>
          </w:p>
        </w:tc>
        <w:tc>
          <w:tcPr>
            <w:tcW w:w="1530" w:type="dxa"/>
            <w:tcBorders>
              <w:top w:val="single" w:sz="4" w:space="0" w:color="000000"/>
              <w:start w:val="single" w:sz="4" w:space="0" w:color="000000"/>
              <w:bottom w:val="single" w:sz="4" w:space="0" w:color="000000"/>
              <w:end w:val="single" w:sz="4" w:space="0" w:color="000000"/>
            </w:tcBorders>
            <w:shd w:fill="BFBFBF" w:val="clear"/>
          </w:tcPr>
          <w:p>
            <w:pPr>
              <w:pStyle w:val="Normal"/>
              <w:rPr>
                <w:b/>
                <w:sz w:val="20"/>
              </w:rPr>
            </w:pPr>
            <w:r>
              <w:rPr>
                <w:b/>
                <w:sz w:val="20"/>
              </w:rPr>
              <w:t>Responsibility</w:t>
            </w:r>
          </w:p>
        </w:tc>
        <w:tc>
          <w:tcPr>
            <w:tcW w:w="659" w:type="dxa"/>
            <w:tcBorders>
              <w:top w:val="single" w:sz="4" w:space="0" w:color="000000"/>
              <w:start w:val="single" w:sz="4" w:space="0" w:color="000000"/>
              <w:bottom w:val="single" w:sz="4" w:space="0" w:color="000000"/>
              <w:end w:val="single" w:sz="4" w:space="0" w:color="000000"/>
            </w:tcBorders>
            <w:shd w:fill="BFBFBF" w:val="clear"/>
          </w:tcPr>
          <w:p>
            <w:pPr>
              <w:pStyle w:val="Normal"/>
              <w:rPr/>
            </w:pPr>
            <w:r>
              <w:rPr>
                <w:b/>
                <w:sz w:val="20"/>
              </w:rPr>
              <w:t>(</w:t>
            </w:r>
            <w:r>
              <w:rPr>
                <w:rFonts w:eastAsia="Wingdings" w:cs="Wingdings" w:ascii="Wingdings" w:hAnsi="Wingdings"/>
                <w:b/>
                <w:sz w:val="20"/>
              </w:rPr>
              <w:sym w:font="Wingdings" w:char="f0fc"/>
            </w:r>
            <w:r>
              <w:rPr>
                <w:b/>
                <w:sz w:val="20"/>
              </w:rPr>
              <w:t>)</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0900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Conference Bridge Opens</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ALL</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1000 – 1200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coordinates RMR Predispatches</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ISO/RMR SCs</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1200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Submit Preferred Schedules and bids for August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SC’s</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Close Day Ahead Preferred Market </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1300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Publish Adjusted Energy and A/S Schedules, Congestion Prices and A/S MCP’s</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1300 – 1400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Download Adjusted Energy and A/S Schedules and DA Interim Public Market Information</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SC’s</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1400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Submit Revised Preferred Schedules and bids for August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SC’s</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Close Day Ahead Revised Preferred Market</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1500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Publish Final Energy and A/S Schedules, Congestion Prices and A/S MCP’s</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After 1500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Download Final Energy and A/S Schedules and DA Final Public Market Information</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SC’s</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After 1500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Submit 24-hour Hour Ahead preferred schedules and bids for trade day August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SC’s</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After 1500 </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Submit 24-hour preferred supplemental energy bids for trade day August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SC’s</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Heading1"/>
        <w:rPr/>
      </w:pPr>
      <w:r>
        <w:rPr/>
        <w:t>Wednesday, August 2, 2000</w:t>
      </w:r>
    </w:p>
    <w:p>
      <w:pPr>
        <w:pStyle w:val="Normal"/>
        <w:rPr>
          <w:sz w:val="20"/>
        </w:rPr>
      </w:pPr>
      <w:r>
        <w:rPr>
          <w:sz w:val="20"/>
        </w:rPr>
      </w:r>
    </w:p>
    <w:p>
      <w:pPr>
        <w:pStyle w:val="Heading4"/>
        <w:rPr/>
      </w:pPr>
      <w:r>
        <w:rPr/>
        <w:t>Scenarios</w:t>
      </w:r>
    </w:p>
    <w:p>
      <w:pPr>
        <w:pStyle w:val="Heading3"/>
        <w:rPr/>
      </w:pPr>
      <w:r>
        <w:rPr/>
        <w:t>Day Ahead</w:t>
      </w:r>
    </w:p>
    <w:p>
      <w:pPr>
        <w:pStyle w:val="Normal"/>
        <w:numPr>
          <w:ilvl w:val="0"/>
          <w:numId w:val="2"/>
        </w:numPr>
        <w:rPr>
          <w:sz w:val="20"/>
        </w:rPr>
      </w:pPr>
      <w:r>
        <w:rPr>
          <w:sz w:val="20"/>
        </w:rPr>
        <w:t>DA RMR Pre-dispatches for trade day August 3 communicated verbally to SC</w:t>
      </w:r>
    </w:p>
    <w:p>
      <w:pPr>
        <w:pStyle w:val="Normal"/>
        <w:numPr>
          <w:ilvl w:val="0"/>
          <w:numId w:val="2"/>
        </w:numPr>
        <w:rPr>
          <w:sz w:val="20"/>
        </w:rPr>
      </w:pPr>
      <w:r>
        <w:rPr>
          <w:sz w:val="20"/>
        </w:rPr>
        <w:t>Day Ahead market run for trade day August 3</w:t>
      </w:r>
    </w:p>
    <w:p>
      <w:pPr>
        <w:pStyle w:val="Normal"/>
        <w:rPr>
          <w:sz w:val="20"/>
        </w:rPr>
      </w:pPr>
      <w:r>
        <w:rPr>
          <w:sz w:val="20"/>
        </w:rPr>
      </w:r>
    </w:p>
    <w:p>
      <w:pPr>
        <w:pStyle w:val="Heading3"/>
        <w:rPr/>
      </w:pPr>
      <w:r>
        <w:rPr/>
        <w:t>Hour Ahead</w:t>
      </w:r>
    </w:p>
    <w:p>
      <w:pPr>
        <w:pStyle w:val="Normal"/>
        <w:numPr>
          <w:ilvl w:val="0"/>
          <w:numId w:val="4"/>
        </w:numPr>
        <w:rPr>
          <w:sz w:val="20"/>
        </w:rPr>
      </w:pPr>
      <w:r>
        <w:rPr>
          <w:sz w:val="20"/>
        </w:rPr>
        <w:t>Hour Ahead market runs for trade day August 2 (markets run during normal time frames)</w:t>
      </w:r>
    </w:p>
    <w:p>
      <w:pPr>
        <w:pStyle w:val="BodyText"/>
        <w:rPr/>
      </w:pPr>
      <w:r>
        <w:rPr/>
        <w:t>NOTE:  Participants do not have to submit hour ahead bids, day ahead final schedules will be used by default.</w:t>
      </w:r>
    </w:p>
    <w:p>
      <w:pPr>
        <w:pStyle w:val="Normal"/>
        <w:rPr>
          <w:sz w:val="20"/>
        </w:rPr>
      </w:pPr>
      <w:r>
        <w:rPr>
          <w:sz w:val="20"/>
        </w:rPr>
      </w:r>
    </w:p>
    <w:p>
      <w:pPr>
        <w:pStyle w:val="Heading1"/>
        <w:rPr>
          <w:b w:val="false"/>
          <w:i/>
          <w:i/>
        </w:rPr>
      </w:pPr>
      <w:r>
        <w:rPr>
          <w:b w:val="false"/>
          <w:i/>
        </w:rPr>
        <w:t>Real-time (HE 1100 – 1700)</w:t>
      </w:r>
    </w:p>
    <w:p>
      <w:pPr>
        <w:pStyle w:val="Normal"/>
        <w:numPr>
          <w:ilvl w:val="0"/>
          <w:numId w:val="5"/>
        </w:numPr>
        <w:rPr>
          <w:sz w:val="20"/>
        </w:rPr>
      </w:pPr>
      <w:r>
        <w:rPr>
          <w:sz w:val="20"/>
        </w:rPr>
        <w:t>Real time market runs for trade day August 2</w:t>
      </w:r>
    </w:p>
    <w:p>
      <w:pPr>
        <w:pStyle w:val="Normal"/>
        <w:numPr>
          <w:ilvl w:val="0"/>
          <w:numId w:val="5"/>
        </w:numPr>
        <w:rPr>
          <w:sz w:val="20"/>
        </w:rPr>
      </w:pPr>
      <w:r>
        <w:rPr>
          <w:sz w:val="20"/>
        </w:rPr>
        <w:t>ISO dispatches every 10-minutes</w:t>
      </w:r>
    </w:p>
    <w:p>
      <w:pPr>
        <w:pStyle w:val="Normal"/>
        <w:numPr>
          <w:ilvl w:val="0"/>
          <w:numId w:val="5"/>
        </w:numPr>
        <w:rPr>
          <w:sz w:val="20"/>
        </w:rPr>
      </w:pPr>
      <w:r>
        <w:rPr>
          <w:sz w:val="20"/>
        </w:rPr>
        <w:t>RT RMR calls coordinated via voice communication</w:t>
      </w:r>
    </w:p>
    <w:p>
      <w:pPr>
        <w:pStyle w:val="Normal"/>
        <w:numPr>
          <w:ilvl w:val="0"/>
          <w:numId w:val="5"/>
        </w:numPr>
        <w:rPr>
          <w:sz w:val="20"/>
        </w:rPr>
      </w:pPr>
      <w:r>
        <w:rPr>
          <w:sz w:val="20"/>
        </w:rPr>
        <w:t>OOS calls coordinated via voice communication</w:t>
      </w:r>
    </w:p>
    <w:p>
      <w:pPr>
        <w:pStyle w:val="Normal"/>
        <w:numPr>
          <w:ilvl w:val="0"/>
          <w:numId w:val="5"/>
        </w:numPr>
        <w:rPr>
          <w:sz w:val="20"/>
        </w:rPr>
      </w:pPr>
      <w:r>
        <w:rPr>
          <w:sz w:val="20"/>
        </w:rPr>
        <w:t>Pre-dispatched interties coordinated via voice communication</w:t>
      </w:r>
    </w:p>
    <w:p>
      <w:pPr>
        <w:pStyle w:val="Normal"/>
        <w:rPr>
          <w:sz w:val="20"/>
        </w:rPr>
      </w:pPr>
      <w:r>
        <w:rPr>
          <w:sz w:val="20"/>
        </w:rPr>
      </w:r>
    </w:p>
    <w:p>
      <w:pPr>
        <w:pStyle w:val="Normal"/>
        <w:rPr>
          <w:i/>
          <w:i/>
          <w:sz w:val="20"/>
        </w:rPr>
      </w:pPr>
      <w:r>
        <w:rPr>
          <w:i/>
          <w:sz w:val="20"/>
        </w:rPr>
        <w:t>SC Data Requirements:</w:t>
      </w:r>
    </w:p>
    <w:p>
      <w:pPr>
        <w:pStyle w:val="Normal"/>
        <w:numPr>
          <w:ilvl w:val="0"/>
          <w:numId w:val="6"/>
        </w:numPr>
        <w:tabs>
          <w:tab w:val="clear" w:pos="720"/>
          <w:tab w:val="left" w:pos="1080" w:leader="none"/>
        </w:tabs>
        <w:jc w:val="both"/>
        <w:rPr>
          <w:sz w:val="20"/>
        </w:rPr>
      </w:pPr>
      <w:r>
        <w:rPr>
          <w:sz w:val="20"/>
        </w:rPr>
        <w:t>Balanced Energy schedules</w:t>
      </w:r>
    </w:p>
    <w:p>
      <w:pPr>
        <w:pStyle w:val="Normal"/>
        <w:numPr>
          <w:ilvl w:val="0"/>
          <w:numId w:val="6"/>
        </w:numPr>
        <w:tabs>
          <w:tab w:val="clear" w:pos="720"/>
          <w:tab w:val="left" w:pos="1080" w:leader="none"/>
        </w:tabs>
        <w:jc w:val="both"/>
        <w:rPr>
          <w:sz w:val="20"/>
        </w:rPr>
      </w:pPr>
      <w:r>
        <w:rPr>
          <w:sz w:val="20"/>
        </w:rPr>
        <w:t>Inter-SC trades (</w:t>
      </w:r>
      <w:r>
        <w:rPr>
          <w:b/>
          <w:sz w:val="20"/>
          <w:u w:val="single"/>
        </w:rPr>
        <w:t>only</w:t>
      </w:r>
      <w:r>
        <w:rPr>
          <w:sz w:val="20"/>
        </w:rPr>
        <w:t xml:space="preserve"> if coordinated with other Market Simulation participants)</w:t>
      </w:r>
    </w:p>
    <w:p>
      <w:pPr>
        <w:pStyle w:val="Normal"/>
        <w:numPr>
          <w:ilvl w:val="0"/>
          <w:numId w:val="6"/>
        </w:numPr>
        <w:tabs>
          <w:tab w:val="clear" w:pos="720"/>
          <w:tab w:val="left" w:pos="1080" w:leader="none"/>
        </w:tabs>
        <w:jc w:val="both"/>
        <w:rPr>
          <w:sz w:val="20"/>
        </w:rPr>
      </w:pPr>
      <w:r>
        <w:rPr>
          <w:sz w:val="20"/>
        </w:rPr>
        <w:t>Regulation Up, Regulation Down, Spin, Non-spin and Replacement bids for units, loads and interties</w:t>
      </w:r>
    </w:p>
    <w:p>
      <w:pPr>
        <w:pStyle w:val="Normal"/>
        <w:numPr>
          <w:ilvl w:val="0"/>
          <w:numId w:val="6"/>
        </w:numPr>
        <w:tabs>
          <w:tab w:val="clear" w:pos="720"/>
          <w:tab w:val="left" w:pos="1080" w:leader="none"/>
        </w:tabs>
        <w:jc w:val="both"/>
        <w:rPr>
          <w:sz w:val="20"/>
        </w:rPr>
      </w:pPr>
      <w:r>
        <w:rPr>
          <w:sz w:val="20"/>
        </w:rPr>
        <w:t>ADS responses (acceptance, declines, timeouts at SC discretion)</w:t>
      </w:r>
    </w:p>
    <w:p>
      <w:pPr>
        <w:pStyle w:val="Normal"/>
        <w:rPr>
          <w:sz w:val="20"/>
        </w:rPr>
      </w:pPr>
      <w:r>
        <w:rPr>
          <w:sz w:val="20"/>
        </w:rPr>
      </w:r>
    </w:p>
    <w:p>
      <w:pPr>
        <w:pStyle w:val="Normal"/>
        <w:rPr/>
      </w:pPr>
      <w:r>
        <w:rPr/>
        <w:t>* HA events not shown on timeline.  HA market close will be at the top of the hour, unless otherwise notified by ISO test coordinator.  HA final schedules will be published at least 15 minutes before start of operating hour.</w:t>
      </w:r>
    </w:p>
    <w:tbl>
      <w:tblPr>
        <w:tblW w:w="8687" w:type="dxa"/>
        <w:jc w:val="start"/>
        <w:tblInd w:w="0" w:type="dxa"/>
        <w:tblLayout w:type="fixed"/>
        <w:tblCellMar>
          <w:top w:w="0" w:type="dxa"/>
          <w:start w:w="108" w:type="dxa"/>
          <w:bottom w:w="0" w:type="dxa"/>
          <w:end w:w="108" w:type="dxa"/>
        </w:tblCellMar>
      </w:tblPr>
      <w:tblGrid>
        <w:gridCol w:w="1368"/>
        <w:gridCol w:w="5130"/>
        <w:gridCol w:w="1530"/>
        <w:gridCol w:w="659"/>
      </w:tblGrid>
      <w:tr>
        <w:trPr>
          <w:tblHeader w:val="true"/>
          <w:trHeight w:val="341" w:hRule="atLeast"/>
        </w:trPr>
        <w:tc>
          <w:tcPr>
            <w:tcW w:w="1368" w:type="dxa"/>
            <w:tcBorders>
              <w:top w:val="single" w:sz="4" w:space="0" w:color="000000"/>
              <w:start w:val="single" w:sz="4" w:space="0" w:color="000000"/>
              <w:bottom w:val="single" w:sz="4" w:space="0" w:color="000000"/>
              <w:end w:val="single" w:sz="4" w:space="0" w:color="000000"/>
            </w:tcBorders>
            <w:shd w:fill="BFBFBF" w:val="clear"/>
          </w:tcPr>
          <w:p>
            <w:pPr>
              <w:pStyle w:val="Normal"/>
              <w:rPr>
                <w:b/>
                <w:sz w:val="20"/>
              </w:rPr>
            </w:pPr>
            <w:r>
              <w:rPr>
                <w:b/>
                <w:sz w:val="20"/>
              </w:rPr>
              <w:t>Time</w:t>
            </w:r>
          </w:p>
        </w:tc>
        <w:tc>
          <w:tcPr>
            <w:tcW w:w="5130" w:type="dxa"/>
            <w:tcBorders>
              <w:top w:val="single" w:sz="4" w:space="0" w:color="000000"/>
              <w:start w:val="single" w:sz="4" w:space="0" w:color="000000"/>
              <w:bottom w:val="single" w:sz="4" w:space="0" w:color="000000"/>
              <w:end w:val="single" w:sz="4" w:space="0" w:color="000000"/>
            </w:tcBorders>
            <w:shd w:fill="BFBFBF" w:val="clear"/>
          </w:tcPr>
          <w:p>
            <w:pPr>
              <w:pStyle w:val="Heading1"/>
              <w:rPr>
                <w:b w:val="false"/>
              </w:rPr>
            </w:pPr>
            <w:r>
              <w:rPr/>
              <w:t>Task*</w:t>
            </w:r>
          </w:p>
        </w:tc>
        <w:tc>
          <w:tcPr>
            <w:tcW w:w="1530" w:type="dxa"/>
            <w:tcBorders>
              <w:top w:val="single" w:sz="4" w:space="0" w:color="000000"/>
              <w:start w:val="single" w:sz="4" w:space="0" w:color="000000"/>
              <w:bottom w:val="single" w:sz="4" w:space="0" w:color="000000"/>
              <w:end w:val="single" w:sz="4" w:space="0" w:color="000000"/>
            </w:tcBorders>
            <w:shd w:fill="BFBFBF" w:val="clear"/>
          </w:tcPr>
          <w:p>
            <w:pPr>
              <w:pStyle w:val="Normal"/>
              <w:rPr>
                <w:b/>
                <w:sz w:val="20"/>
              </w:rPr>
            </w:pPr>
            <w:r>
              <w:rPr>
                <w:b/>
                <w:sz w:val="20"/>
              </w:rPr>
              <w:t>Responsibility</w:t>
            </w:r>
          </w:p>
        </w:tc>
        <w:tc>
          <w:tcPr>
            <w:tcW w:w="659" w:type="dxa"/>
            <w:tcBorders>
              <w:top w:val="single" w:sz="4" w:space="0" w:color="000000"/>
              <w:start w:val="single" w:sz="4" w:space="0" w:color="000000"/>
              <w:bottom w:val="single" w:sz="4" w:space="0" w:color="000000"/>
              <w:end w:val="single" w:sz="4" w:space="0" w:color="000000"/>
            </w:tcBorders>
            <w:shd w:fill="BFBFBF" w:val="clear"/>
          </w:tcPr>
          <w:p>
            <w:pPr>
              <w:pStyle w:val="Normal"/>
              <w:rPr/>
            </w:pPr>
            <w:r>
              <w:rPr>
                <w:b/>
                <w:sz w:val="20"/>
              </w:rPr>
              <w:t>(</w:t>
            </w:r>
            <w:r>
              <w:rPr>
                <w:rFonts w:eastAsia="Wingdings" w:cs="Wingdings" w:ascii="Wingdings" w:hAnsi="Wingdings"/>
                <w:b/>
                <w:sz w:val="20"/>
              </w:rPr>
              <w:sym w:font="Wingdings" w:char="f0fc"/>
            </w:r>
            <w:r>
              <w:rPr>
                <w:b/>
                <w:sz w:val="20"/>
              </w:rPr>
              <w:t>)</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0900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Conference Bridge Opens</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ALL</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0915</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Submit Supplemental Energy Bids for HE 11</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end w:val="single" w:sz="4" w:space="0" w:color="000000"/>
            </w:tcBorders>
          </w:tcPr>
          <w:p>
            <w:pPr>
              <w:pStyle w:val="Normal"/>
              <w:rPr>
                <w:sz w:val="20"/>
              </w:rPr>
            </w:pPr>
            <w:r>
              <w:rPr>
                <w:sz w:val="20"/>
              </w:rPr>
              <w:t>0915</w:t>
            </w:r>
          </w:p>
        </w:tc>
        <w:tc>
          <w:tcPr>
            <w:tcW w:w="5130" w:type="dxa"/>
            <w:tcBorders>
              <w:top w:val="single" w:sz="4" w:space="0" w:color="000000"/>
              <w:start w:val="single" w:sz="4" w:space="0" w:color="000000"/>
              <w:end w:val="single" w:sz="4" w:space="0" w:color="000000"/>
            </w:tcBorders>
          </w:tcPr>
          <w:p>
            <w:pPr>
              <w:pStyle w:val="Normal"/>
              <w:rPr>
                <w:sz w:val="20"/>
              </w:rPr>
            </w:pPr>
            <w:r>
              <w:rPr>
                <w:sz w:val="20"/>
              </w:rPr>
              <w:t>Close Real Time Market for HE 11</w:t>
            </w:r>
          </w:p>
        </w:tc>
        <w:tc>
          <w:tcPr>
            <w:tcW w:w="1530" w:type="dxa"/>
            <w:tcBorders>
              <w:top w:val="single" w:sz="4" w:space="0" w:color="000000"/>
              <w:start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0930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Pre-dispatch for HE 11</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1000 – 1010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HE 11 Int 1 dispatch</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8687" w:type="dxa"/>
            <w:gridSpan w:val="4"/>
            <w:tcBorders>
              <w:top w:val="single" w:sz="4" w:space="0" w:color="000000"/>
              <w:start w:val="single" w:sz="4" w:space="0" w:color="000000"/>
              <w:bottom w:val="single" w:sz="4" w:space="0" w:color="000000"/>
              <w:end w:val="single" w:sz="4" w:space="0" w:color="000000"/>
            </w:tcBorders>
            <w:shd w:fill="FFFF00" w:val="clear"/>
          </w:tcPr>
          <w:p>
            <w:pPr>
              <w:pStyle w:val="Heading5"/>
              <w:rPr/>
            </w:pPr>
            <w:r>
              <w:rPr/>
              <w:t>NOTE:  10-minute prices and total dispatched energy published every 10 minutes…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1015</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Submit Supplemental Energy Bids for HE12</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end w:val="single" w:sz="4" w:space="0" w:color="000000"/>
            </w:tcBorders>
          </w:tcPr>
          <w:p>
            <w:pPr>
              <w:pStyle w:val="Normal"/>
              <w:rPr>
                <w:sz w:val="20"/>
              </w:rPr>
            </w:pPr>
            <w:r>
              <w:rPr>
                <w:sz w:val="20"/>
              </w:rPr>
              <w:t>1015</w:t>
            </w:r>
          </w:p>
        </w:tc>
        <w:tc>
          <w:tcPr>
            <w:tcW w:w="5130" w:type="dxa"/>
            <w:tcBorders>
              <w:top w:val="single" w:sz="4" w:space="0" w:color="000000"/>
              <w:start w:val="single" w:sz="4" w:space="0" w:color="000000"/>
              <w:end w:val="single" w:sz="4" w:space="0" w:color="000000"/>
            </w:tcBorders>
          </w:tcPr>
          <w:p>
            <w:pPr>
              <w:pStyle w:val="Normal"/>
              <w:rPr>
                <w:sz w:val="20"/>
              </w:rPr>
            </w:pPr>
            <w:r>
              <w:rPr>
                <w:sz w:val="20"/>
              </w:rPr>
              <w:t>Close Real Time Market for HE12</w:t>
            </w:r>
          </w:p>
        </w:tc>
        <w:tc>
          <w:tcPr>
            <w:tcW w:w="1530" w:type="dxa"/>
            <w:tcBorders>
              <w:top w:val="single" w:sz="4" w:space="0" w:color="000000"/>
              <w:start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1010 – 1020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HE 11 Int 2 dispatch</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1020 – 1030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HE 11 Int 3 dispatch</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1030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Pre-dispatch for HE12</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1030 – 1040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HE11 Int 4 dispatch</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1040 – 1050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HE11 Int 5 dispatch</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1050 – 1100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HE11 Int 6 dispatch</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1100 – 1110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HE12 Int 1 dispatch</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1115</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Submit Supplemental Energy Bids for HE13</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1115</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Close Real Time Market for HE13</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1110 – 1120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HE12 Int 2 dispatch</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1120 – 1130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HE12 Int 3 dispatch</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1130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Pre-dispatches for HE13</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1130 – 1140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HE12 Int 4 dispatch</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1140 – 1150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HE12 Int 5 dispatch</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1150 – 1200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HE12 Int 6 dispatch</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Before 1200</w:t>
            </w:r>
          </w:p>
        </w:tc>
        <w:tc>
          <w:tcPr>
            <w:tcW w:w="51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Submit DA Preferred Schedules and bids for August 3</w:t>
            </w:r>
          </w:p>
        </w:tc>
        <w:tc>
          <w:tcPr>
            <w:tcW w:w="15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SC</w:t>
            </w:r>
          </w:p>
        </w:tc>
        <w:tc>
          <w:tcPr>
            <w:tcW w:w="659"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rPr>
                <w:sz w:val="20"/>
              </w:rPr>
            </w:pPr>
            <w:r>
              <w:rPr>
                <w:sz w:val="20"/>
              </w:rPr>
            </w:r>
          </w:p>
        </w:tc>
      </w:tr>
      <w:tr>
        <w:trPr/>
        <w:tc>
          <w:tcPr>
            <w:tcW w:w="1368" w:type="dxa"/>
            <w:tcBorders>
              <w:top w:val="single" w:sz="4" w:space="0" w:color="000000"/>
              <w:start w:val="single" w:sz="4" w:space="0" w:color="000000"/>
              <w:end w:val="single" w:sz="4" w:space="0" w:color="000000"/>
            </w:tcBorders>
            <w:shd w:fill="00FFFF" w:val="clear"/>
          </w:tcPr>
          <w:p>
            <w:pPr>
              <w:pStyle w:val="Normal"/>
              <w:rPr>
                <w:sz w:val="20"/>
              </w:rPr>
            </w:pPr>
            <w:r>
              <w:rPr>
                <w:sz w:val="20"/>
              </w:rPr>
              <w:t>1200</w:t>
            </w:r>
          </w:p>
        </w:tc>
        <w:tc>
          <w:tcPr>
            <w:tcW w:w="5130" w:type="dxa"/>
            <w:tcBorders>
              <w:top w:val="single" w:sz="4" w:space="0" w:color="000000"/>
              <w:start w:val="single" w:sz="4" w:space="0" w:color="000000"/>
              <w:end w:val="single" w:sz="4" w:space="0" w:color="000000"/>
            </w:tcBorders>
            <w:shd w:fill="00FFFF" w:val="clear"/>
          </w:tcPr>
          <w:p>
            <w:pPr>
              <w:pStyle w:val="Normal"/>
              <w:rPr>
                <w:sz w:val="20"/>
              </w:rPr>
            </w:pPr>
            <w:r>
              <w:rPr>
                <w:sz w:val="20"/>
              </w:rPr>
              <w:t xml:space="preserve">Close Day Ahead Preferred Market </w:t>
            </w:r>
          </w:p>
        </w:tc>
        <w:tc>
          <w:tcPr>
            <w:tcW w:w="1530" w:type="dxa"/>
            <w:tcBorders>
              <w:top w:val="single" w:sz="4" w:space="0" w:color="000000"/>
              <w:start w:val="single" w:sz="4" w:space="0" w:color="000000"/>
              <w:end w:val="single" w:sz="4" w:space="0" w:color="000000"/>
            </w:tcBorders>
            <w:shd w:fill="00FFFF" w:val="clear"/>
          </w:tcPr>
          <w:p>
            <w:pPr>
              <w:pStyle w:val="Normal"/>
              <w:rPr>
                <w:sz w:val="20"/>
              </w:rPr>
            </w:pPr>
            <w:r>
              <w:rPr>
                <w:sz w:val="20"/>
              </w:rPr>
              <w:t>ISO</w:t>
            </w:r>
          </w:p>
        </w:tc>
        <w:tc>
          <w:tcPr>
            <w:tcW w:w="659" w:type="dxa"/>
            <w:tcBorders>
              <w:top w:val="single" w:sz="4" w:space="0" w:color="000000"/>
              <w:start w:val="single" w:sz="4" w:space="0" w:color="000000"/>
              <w:end w:val="single" w:sz="4" w:space="0" w:color="000000"/>
            </w:tcBorders>
            <w:shd w:fill="00FFFF" w:val="clear"/>
          </w:tcPr>
          <w:p>
            <w:pPr>
              <w:pStyle w:val="Normal"/>
              <w:snapToGrid w:val="false"/>
              <w:rPr>
                <w:sz w:val="20"/>
              </w:rPr>
            </w:pPr>
            <w:r>
              <w:rPr>
                <w:sz w:val="20"/>
              </w:rPr>
            </w:r>
          </w:p>
        </w:tc>
      </w:tr>
      <w:tr>
        <w:trPr/>
        <w:tc>
          <w:tcPr>
            <w:tcW w:w="8687" w:type="dxa"/>
            <w:gridSpan w:val="4"/>
            <w:tcBorders>
              <w:top w:val="single" w:sz="4" w:space="0" w:color="000000"/>
              <w:start w:val="single" w:sz="4" w:space="0" w:color="000000"/>
              <w:bottom w:val="single" w:sz="4" w:space="0" w:color="000000"/>
              <w:end w:val="single" w:sz="4" w:space="0" w:color="000000"/>
            </w:tcBorders>
            <w:shd w:fill="FFFF00" w:val="clear"/>
          </w:tcPr>
          <w:p>
            <w:pPr>
              <w:pStyle w:val="Heading5"/>
              <w:rPr/>
            </w:pPr>
            <w:r>
              <w:rPr/>
              <w:t>NOTE:  Real time dispatches continue every 10 minutes, every hour until 1700…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1215</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Submit Supplemental Energy Bids for HE14</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end w:val="single" w:sz="4" w:space="0" w:color="000000"/>
            </w:tcBorders>
          </w:tcPr>
          <w:p>
            <w:pPr>
              <w:pStyle w:val="Normal"/>
              <w:rPr>
                <w:sz w:val="20"/>
              </w:rPr>
            </w:pPr>
            <w:r>
              <w:rPr>
                <w:sz w:val="20"/>
              </w:rPr>
              <w:t>1215</w:t>
            </w:r>
          </w:p>
        </w:tc>
        <w:tc>
          <w:tcPr>
            <w:tcW w:w="5130" w:type="dxa"/>
            <w:tcBorders>
              <w:top w:val="single" w:sz="4" w:space="0" w:color="000000"/>
              <w:start w:val="single" w:sz="4" w:space="0" w:color="000000"/>
              <w:end w:val="single" w:sz="4" w:space="0" w:color="000000"/>
            </w:tcBorders>
          </w:tcPr>
          <w:p>
            <w:pPr>
              <w:pStyle w:val="Normal"/>
              <w:rPr>
                <w:sz w:val="20"/>
              </w:rPr>
            </w:pPr>
            <w:r>
              <w:rPr>
                <w:sz w:val="20"/>
              </w:rPr>
              <w:t>Close Real Time Market for HE14</w:t>
            </w:r>
          </w:p>
        </w:tc>
        <w:tc>
          <w:tcPr>
            <w:tcW w:w="1530" w:type="dxa"/>
            <w:tcBorders>
              <w:top w:val="single" w:sz="4" w:space="0" w:color="000000"/>
              <w:start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1220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Publish Ex-Post Public Market Information for HE12</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1230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Pre-dispatch for HE14</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Before 1300</w:t>
            </w:r>
          </w:p>
        </w:tc>
        <w:tc>
          <w:tcPr>
            <w:tcW w:w="51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Publish Adjusted Energy and A/S Schedules, Congestion Prices and A/S MCP’s</w:t>
            </w:r>
          </w:p>
        </w:tc>
        <w:tc>
          <w:tcPr>
            <w:tcW w:w="15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1300 – 1400</w:t>
            </w:r>
          </w:p>
        </w:tc>
        <w:tc>
          <w:tcPr>
            <w:tcW w:w="51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Download Adjusted Energy and A/S Schedules and DA Interim Public Market Information</w:t>
            </w:r>
          </w:p>
        </w:tc>
        <w:tc>
          <w:tcPr>
            <w:tcW w:w="15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SC’s</w:t>
            </w:r>
          </w:p>
        </w:tc>
        <w:tc>
          <w:tcPr>
            <w:tcW w:w="659"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1315</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Submit Supplemental Energy Bids for HE15</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SC’s</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1315</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Close Real Time Market for HE15</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1320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Publish Ex-Post Public Market Information for HE13</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1330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Pre-dispatch for HE15</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Before 1400</w:t>
            </w:r>
          </w:p>
        </w:tc>
        <w:tc>
          <w:tcPr>
            <w:tcW w:w="51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Submit Revised Preferred Schedules and bids for August 3</w:t>
            </w:r>
          </w:p>
        </w:tc>
        <w:tc>
          <w:tcPr>
            <w:tcW w:w="15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SC’s</w:t>
            </w:r>
          </w:p>
        </w:tc>
        <w:tc>
          <w:tcPr>
            <w:tcW w:w="659"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1400</w:t>
            </w:r>
          </w:p>
        </w:tc>
        <w:tc>
          <w:tcPr>
            <w:tcW w:w="51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Close Day Ahead Revised Preferred Market</w:t>
            </w:r>
          </w:p>
        </w:tc>
        <w:tc>
          <w:tcPr>
            <w:tcW w:w="15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1415</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Submit Supplemental Energy Bids for HE16</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1415</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Close Real Time Market for HE16</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1420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Publish Ex-Post Public Market Information for HE14</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1430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Pre-dispatch for HE16</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Before 1500</w:t>
            </w:r>
          </w:p>
        </w:tc>
        <w:tc>
          <w:tcPr>
            <w:tcW w:w="51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Publish Final Energy and A/S Schedules, Congestion Prices and A/S MCP’s</w:t>
            </w:r>
          </w:p>
        </w:tc>
        <w:tc>
          <w:tcPr>
            <w:tcW w:w="15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After 1500</w:t>
            </w:r>
          </w:p>
        </w:tc>
        <w:tc>
          <w:tcPr>
            <w:tcW w:w="51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Download Final Energy and A/S Schedules and DA Final Public Market Information</w:t>
            </w:r>
          </w:p>
        </w:tc>
        <w:tc>
          <w:tcPr>
            <w:tcW w:w="1530" w:type="dxa"/>
            <w:tcBorders>
              <w:top w:val="single" w:sz="4" w:space="0" w:color="000000"/>
              <w:start w:val="single" w:sz="4" w:space="0" w:color="000000"/>
              <w:bottom w:val="single" w:sz="4" w:space="0" w:color="000000"/>
              <w:end w:val="single" w:sz="4" w:space="0" w:color="000000"/>
            </w:tcBorders>
            <w:shd w:fill="00FFFF" w:val="clear"/>
          </w:tcPr>
          <w:p>
            <w:pPr>
              <w:pStyle w:val="Normal"/>
              <w:rPr>
                <w:sz w:val="20"/>
              </w:rPr>
            </w:pPr>
            <w:r>
              <w:rPr>
                <w:sz w:val="20"/>
              </w:rPr>
              <w:t>SC</w:t>
            </w:r>
          </w:p>
        </w:tc>
        <w:tc>
          <w:tcPr>
            <w:tcW w:w="659"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1515</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Submit Supplemental Energy Bids for HE17</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1515 </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Close Real Time Market for HE17</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1520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Publish Ex-Post Public Market Information for HE15</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1530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Pre-dispatch for HE17</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1620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Publish Ex-Post Public Market Information for HE16</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1720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Publish Ex-Post Public Market Information for HE17</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Heading1"/>
        <w:rPr/>
      </w:pPr>
      <w:r>
        <w:rPr/>
        <w:t>Thursday, August 3, 2000</w:t>
      </w:r>
    </w:p>
    <w:p>
      <w:pPr>
        <w:pStyle w:val="Normal"/>
        <w:rPr>
          <w:sz w:val="20"/>
        </w:rPr>
      </w:pPr>
      <w:r>
        <w:rPr>
          <w:sz w:val="20"/>
        </w:rPr>
      </w:r>
    </w:p>
    <w:p>
      <w:pPr>
        <w:pStyle w:val="Normal"/>
        <w:rPr/>
      </w:pPr>
      <w:r>
        <w:rPr/>
        <w:t>Repeat of August 2 except no Day Ahead market will be run.</w:t>
      </w:r>
    </w:p>
    <w:tbl>
      <w:tblPr>
        <w:tblW w:w="8687" w:type="dxa"/>
        <w:jc w:val="start"/>
        <w:tblInd w:w="0" w:type="dxa"/>
        <w:tblLayout w:type="fixed"/>
        <w:tblCellMar>
          <w:top w:w="0" w:type="dxa"/>
          <w:start w:w="108" w:type="dxa"/>
          <w:bottom w:w="0" w:type="dxa"/>
          <w:end w:w="108" w:type="dxa"/>
        </w:tblCellMar>
      </w:tblPr>
      <w:tblGrid>
        <w:gridCol w:w="1368"/>
        <w:gridCol w:w="5130"/>
        <w:gridCol w:w="1530"/>
        <w:gridCol w:w="659"/>
      </w:tblGrid>
      <w:tr>
        <w:trPr>
          <w:tblHeader w:val="true"/>
        </w:trPr>
        <w:tc>
          <w:tcPr>
            <w:tcW w:w="1368" w:type="dxa"/>
            <w:tcBorders>
              <w:top w:val="single" w:sz="4" w:space="0" w:color="000000"/>
              <w:start w:val="single" w:sz="4" w:space="0" w:color="000000"/>
              <w:bottom w:val="single" w:sz="4" w:space="0" w:color="000000"/>
              <w:end w:val="single" w:sz="4" w:space="0" w:color="000000"/>
            </w:tcBorders>
            <w:shd w:fill="BFBFBF" w:val="clear"/>
          </w:tcPr>
          <w:p>
            <w:pPr>
              <w:pStyle w:val="Normal"/>
              <w:rPr>
                <w:b/>
                <w:sz w:val="20"/>
              </w:rPr>
            </w:pPr>
            <w:r>
              <w:rPr>
                <w:b/>
                <w:sz w:val="20"/>
              </w:rPr>
              <w:t>Time</w:t>
            </w:r>
          </w:p>
        </w:tc>
        <w:tc>
          <w:tcPr>
            <w:tcW w:w="5130" w:type="dxa"/>
            <w:tcBorders>
              <w:top w:val="single" w:sz="4" w:space="0" w:color="000000"/>
              <w:start w:val="single" w:sz="4" w:space="0" w:color="000000"/>
              <w:bottom w:val="single" w:sz="4" w:space="0" w:color="000000"/>
              <w:end w:val="single" w:sz="4" w:space="0" w:color="000000"/>
            </w:tcBorders>
            <w:shd w:fill="BFBFBF" w:val="clear"/>
          </w:tcPr>
          <w:p>
            <w:pPr>
              <w:pStyle w:val="Heading1"/>
              <w:rPr>
                <w:b w:val="false"/>
              </w:rPr>
            </w:pPr>
            <w:r>
              <w:rPr/>
              <w:t>Task</w:t>
            </w:r>
          </w:p>
        </w:tc>
        <w:tc>
          <w:tcPr>
            <w:tcW w:w="1530" w:type="dxa"/>
            <w:tcBorders>
              <w:top w:val="single" w:sz="4" w:space="0" w:color="000000"/>
              <w:start w:val="single" w:sz="4" w:space="0" w:color="000000"/>
              <w:bottom w:val="single" w:sz="4" w:space="0" w:color="000000"/>
              <w:end w:val="single" w:sz="4" w:space="0" w:color="000000"/>
            </w:tcBorders>
            <w:shd w:fill="BFBFBF" w:val="clear"/>
          </w:tcPr>
          <w:p>
            <w:pPr>
              <w:pStyle w:val="Normal"/>
              <w:rPr>
                <w:b/>
                <w:sz w:val="20"/>
              </w:rPr>
            </w:pPr>
            <w:r>
              <w:rPr>
                <w:b/>
                <w:sz w:val="20"/>
              </w:rPr>
              <w:t>Responsibility</w:t>
            </w:r>
          </w:p>
        </w:tc>
        <w:tc>
          <w:tcPr>
            <w:tcW w:w="659" w:type="dxa"/>
            <w:tcBorders>
              <w:top w:val="single" w:sz="4" w:space="0" w:color="000000"/>
              <w:start w:val="single" w:sz="4" w:space="0" w:color="000000"/>
              <w:bottom w:val="single" w:sz="4" w:space="0" w:color="000000"/>
              <w:end w:val="single" w:sz="4" w:space="0" w:color="000000"/>
            </w:tcBorders>
            <w:shd w:fill="BFBFBF" w:val="clear"/>
          </w:tcPr>
          <w:p>
            <w:pPr>
              <w:pStyle w:val="Normal"/>
              <w:rPr/>
            </w:pPr>
            <w:r>
              <w:rPr>
                <w:b/>
                <w:sz w:val="20"/>
              </w:rPr>
              <w:t>(</w:t>
            </w:r>
            <w:r>
              <w:rPr>
                <w:rFonts w:eastAsia="Wingdings" w:cs="Wingdings" w:ascii="Wingdings" w:hAnsi="Wingdings"/>
                <w:b/>
                <w:sz w:val="20"/>
              </w:rPr>
              <w:sym w:font="Wingdings" w:char="f0fc"/>
            </w:r>
            <w:r>
              <w:rPr>
                <w:b/>
                <w:sz w:val="20"/>
              </w:rPr>
              <w:t>)</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1700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Submit load meter data for August 2 to ISO</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Heading1"/>
        <w:rPr/>
      </w:pPr>
      <w:r>
        <w:rPr/>
        <w:t>Friday, August 4, 2000</w:t>
      </w:r>
    </w:p>
    <w:p>
      <w:pPr>
        <w:pStyle w:val="Normal"/>
        <w:rPr>
          <w:sz w:val="20"/>
        </w:rPr>
      </w:pPr>
      <w:r>
        <w:rPr>
          <w:sz w:val="20"/>
        </w:rPr>
      </w:r>
    </w:p>
    <w:tbl>
      <w:tblPr>
        <w:tblW w:w="8687" w:type="dxa"/>
        <w:jc w:val="start"/>
        <w:tblInd w:w="0" w:type="dxa"/>
        <w:tblLayout w:type="fixed"/>
        <w:tblCellMar>
          <w:top w:w="0" w:type="dxa"/>
          <w:start w:w="108" w:type="dxa"/>
          <w:bottom w:w="0" w:type="dxa"/>
          <w:end w:w="108" w:type="dxa"/>
        </w:tblCellMar>
      </w:tblPr>
      <w:tblGrid>
        <w:gridCol w:w="1368"/>
        <w:gridCol w:w="5130"/>
        <w:gridCol w:w="1530"/>
        <w:gridCol w:w="659"/>
      </w:tblGrid>
      <w:tr>
        <w:trPr>
          <w:tblHeader w:val="true"/>
        </w:trPr>
        <w:tc>
          <w:tcPr>
            <w:tcW w:w="1368" w:type="dxa"/>
            <w:tcBorders>
              <w:top w:val="single" w:sz="4" w:space="0" w:color="000000"/>
              <w:start w:val="single" w:sz="4" w:space="0" w:color="000000"/>
              <w:bottom w:val="single" w:sz="4" w:space="0" w:color="000000"/>
              <w:end w:val="single" w:sz="4" w:space="0" w:color="000000"/>
            </w:tcBorders>
            <w:shd w:fill="BFBFBF" w:val="clear"/>
          </w:tcPr>
          <w:p>
            <w:pPr>
              <w:pStyle w:val="Normal"/>
              <w:rPr>
                <w:b/>
                <w:sz w:val="20"/>
              </w:rPr>
            </w:pPr>
            <w:r>
              <w:rPr>
                <w:b/>
                <w:sz w:val="20"/>
              </w:rPr>
              <w:t>Time</w:t>
            </w:r>
          </w:p>
        </w:tc>
        <w:tc>
          <w:tcPr>
            <w:tcW w:w="5130" w:type="dxa"/>
            <w:tcBorders>
              <w:top w:val="single" w:sz="4" w:space="0" w:color="000000"/>
              <w:start w:val="single" w:sz="4" w:space="0" w:color="000000"/>
              <w:bottom w:val="single" w:sz="4" w:space="0" w:color="000000"/>
              <w:end w:val="single" w:sz="4" w:space="0" w:color="000000"/>
            </w:tcBorders>
            <w:shd w:fill="BFBFBF" w:val="clear"/>
          </w:tcPr>
          <w:p>
            <w:pPr>
              <w:pStyle w:val="Heading1"/>
              <w:rPr>
                <w:b w:val="false"/>
              </w:rPr>
            </w:pPr>
            <w:r>
              <w:rPr/>
              <w:t>Task</w:t>
            </w:r>
          </w:p>
        </w:tc>
        <w:tc>
          <w:tcPr>
            <w:tcW w:w="1530" w:type="dxa"/>
            <w:tcBorders>
              <w:top w:val="single" w:sz="4" w:space="0" w:color="000000"/>
              <w:start w:val="single" w:sz="4" w:space="0" w:color="000000"/>
              <w:bottom w:val="single" w:sz="4" w:space="0" w:color="000000"/>
              <w:end w:val="single" w:sz="4" w:space="0" w:color="000000"/>
            </w:tcBorders>
            <w:shd w:fill="BFBFBF" w:val="clear"/>
          </w:tcPr>
          <w:p>
            <w:pPr>
              <w:pStyle w:val="Normal"/>
              <w:rPr>
                <w:b/>
                <w:sz w:val="20"/>
              </w:rPr>
            </w:pPr>
            <w:r>
              <w:rPr>
                <w:b/>
                <w:sz w:val="20"/>
              </w:rPr>
              <w:t>Responsibility</w:t>
            </w:r>
          </w:p>
        </w:tc>
        <w:tc>
          <w:tcPr>
            <w:tcW w:w="659" w:type="dxa"/>
            <w:tcBorders>
              <w:top w:val="single" w:sz="4" w:space="0" w:color="000000"/>
              <w:start w:val="single" w:sz="4" w:space="0" w:color="000000"/>
              <w:bottom w:val="single" w:sz="4" w:space="0" w:color="000000"/>
              <w:end w:val="single" w:sz="4" w:space="0" w:color="000000"/>
            </w:tcBorders>
            <w:shd w:fill="BFBFBF" w:val="clear"/>
          </w:tcPr>
          <w:p>
            <w:pPr>
              <w:pStyle w:val="Normal"/>
              <w:rPr/>
            </w:pPr>
            <w:r>
              <w:rPr>
                <w:b/>
                <w:sz w:val="20"/>
              </w:rPr>
              <w:t>(</w:t>
            </w:r>
            <w:r>
              <w:rPr>
                <w:rFonts w:eastAsia="Wingdings" w:cs="Wingdings" w:ascii="Wingdings" w:hAnsi="Wingdings"/>
                <w:b/>
                <w:sz w:val="20"/>
              </w:rPr>
              <w:sym w:font="Wingdings" w:char="f0fc"/>
            </w:r>
            <w:r>
              <w:rPr>
                <w:b/>
                <w:sz w:val="20"/>
              </w:rPr>
              <w:t>)</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After 1200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Download meter data from test MDAS/STAR</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1700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Settlement run for August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pPr>
      <w:r>
        <w:rPr/>
      </w:r>
    </w:p>
    <w:p>
      <w:pPr>
        <w:pStyle w:val="Heading1"/>
        <w:rPr/>
      </w:pPr>
      <w:r>
        <w:rPr/>
        <w:t>Monday, August 7, 2000</w:t>
      </w:r>
    </w:p>
    <w:p>
      <w:pPr>
        <w:pStyle w:val="Normal"/>
        <w:rPr>
          <w:sz w:val="20"/>
        </w:rPr>
      </w:pPr>
      <w:r>
        <w:rPr>
          <w:sz w:val="20"/>
        </w:rPr>
      </w:r>
    </w:p>
    <w:tbl>
      <w:tblPr>
        <w:tblW w:w="8687" w:type="dxa"/>
        <w:jc w:val="start"/>
        <w:tblInd w:w="0" w:type="dxa"/>
        <w:tblLayout w:type="fixed"/>
        <w:tblCellMar>
          <w:top w:w="0" w:type="dxa"/>
          <w:start w:w="108" w:type="dxa"/>
          <w:bottom w:w="0" w:type="dxa"/>
          <w:end w:w="108" w:type="dxa"/>
        </w:tblCellMar>
      </w:tblPr>
      <w:tblGrid>
        <w:gridCol w:w="1368"/>
        <w:gridCol w:w="5130"/>
        <w:gridCol w:w="1530"/>
        <w:gridCol w:w="659"/>
      </w:tblGrid>
      <w:tr>
        <w:trPr>
          <w:tblHeader w:val="true"/>
        </w:trPr>
        <w:tc>
          <w:tcPr>
            <w:tcW w:w="1368" w:type="dxa"/>
            <w:tcBorders>
              <w:top w:val="single" w:sz="4" w:space="0" w:color="000000"/>
              <w:start w:val="single" w:sz="4" w:space="0" w:color="000000"/>
              <w:bottom w:val="single" w:sz="4" w:space="0" w:color="000000"/>
              <w:end w:val="single" w:sz="4" w:space="0" w:color="000000"/>
            </w:tcBorders>
            <w:shd w:fill="BFBFBF" w:val="clear"/>
          </w:tcPr>
          <w:p>
            <w:pPr>
              <w:pStyle w:val="Normal"/>
              <w:rPr>
                <w:b/>
                <w:sz w:val="20"/>
              </w:rPr>
            </w:pPr>
            <w:r>
              <w:rPr>
                <w:b/>
                <w:sz w:val="20"/>
              </w:rPr>
              <w:t>Time</w:t>
            </w:r>
          </w:p>
        </w:tc>
        <w:tc>
          <w:tcPr>
            <w:tcW w:w="5130" w:type="dxa"/>
            <w:tcBorders>
              <w:top w:val="single" w:sz="4" w:space="0" w:color="000000"/>
              <w:start w:val="single" w:sz="4" w:space="0" w:color="000000"/>
              <w:bottom w:val="single" w:sz="4" w:space="0" w:color="000000"/>
              <w:end w:val="single" w:sz="4" w:space="0" w:color="000000"/>
            </w:tcBorders>
            <w:shd w:fill="BFBFBF" w:val="clear"/>
          </w:tcPr>
          <w:p>
            <w:pPr>
              <w:pStyle w:val="Heading1"/>
              <w:rPr>
                <w:b w:val="false"/>
              </w:rPr>
            </w:pPr>
            <w:r>
              <w:rPr/>
              <w:t>Task</w:t>
            </w:r>
          </w:p>
        </w:tc>
        <w:tc>
          <w:tcPr>
            <w:tcW w:w="1530" w:type="dxa"/>
            <w:tcBorders>
              <w:top w:val="single" w:sz="4" w:space="0" w:color="000000"/>
              <w:start w:val="single" w:sz="4" w:space="0" w:color="000000"/>
              <w:bottom w:val="single" w:sz="4" w:space="0" w:color="000000"/>
              <w:end w:val="single" w:sz="4" w:space="0" w:color="000000"/>
            </w:tcBorders>
            <w:shd w:fill="BFBFBF" w:val="clear"/>
          </w:tcPr>
          <w:p>
            <w:pPr>
              <w:pStyle w:val="Normal"/>
              <w:rPr>
                <w:b/>
                <w:sz w:val="20"/>
              </w:rPr>
            </w:pPr>
            <w:r>
              <w:rPr>
                <w:b/>
                <w:sz w:val="20"/>
              </w:rPr>
              <w:t>Responsibility</w:t>
            </w:r>
          </w:p>
        </w:tc>
        <w:tc>
          <w:tcPr>
            <w:tcW w:w="659" w:type="dxa"/>
            <w:tcBorders>
              <w:top w:val="single" w:sz="4" w:space="0" w:color="000000"/>
              <w:start w:val="single" w:sz="4" w:space="0" w:color="000000"/>
              <w:bottom w:val="single" w:sz="4" w:space="0" w:color="000000"/>
              <w:end w:val="single" w:sz="4" w:space="0" w:color="000000"/>
            </w:tcBorders>
            <w:shd w:fill="BFBFBF" w:val="clear"/>
          </w:tcPr>
          <w:p>
            <w:pPr>
              <w:pStyle w:val="Normal"/>
              <w:rPr/>
            </w:pPr>
            <w:r>
              <w:rPr>
                <w:b/>
                <w:sz w:val="20"/>
              </w:rPr>
              <w:t>(</w:t>
            </w:r>
            <w:r>
              <w:rPr>
                <w:rFonts w:eastAsia="Wingdings" w:cs="Wingdings" w:ascii="Wingdings" w:hAnsi="Wingdings"/>
                <w:b/>
                <w:sz w:val="20"/>
              </w:rPr>
              <w:sym w:font="Wingdings" w:char="f0fc"/>
            </w:r>
            <w:r>
              <w:rPr>
                <w:b/>
                <w:sz w:val="20"/>
              </w:rPr>
              <w:t>)</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All day</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Download meter data from MDAS/STAR</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SCs</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1600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Analyze settlement results for August 2 for accuracy</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After 1600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Download settlement files for August 2</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SCs</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1700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Start settlement run for August 3</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Heading1"/>
        <w:rPr/>
      </w:pPr>
      <w:r>
        <w:rPr/>
        <w:t>Tuesday, August 8, 2000</w:t>
      </w:r>
    </w:p>
    <w:p>
      <w:pPr>
        <w:pStyle w:val="Normal"/>
        <w:rPr>
          <w:sz w:val="20"/>
        </w:rPr>
      </w:pPr>
      <w:r>
        <w:rPr>
          <w:sz w:val="20"/>
        </w:rPr>
      </w:r>
    </w:p>
    <w:p>
      <w:pPr>
        <w:pStyle w:val="Heading1"/>
        <w:rPr/>
      </w:pPr>
      <w:r>
        <w:rPr/>
        <w:t>NO CONFERENCE CALL SCHEDULED TODAY</w:t>
      </w:r>
    </w:p>
    <w:tbl>
      <w:tblPr>
        <w:tblW w:w="8687" w:type="dxa"/>
        <w:jc w:val="start"/>
        <w:tblInd w:w="0" w:type="dxa"/>
        <w:tblLayout w:type="fixed"/>
        <w:tblCellMar>
          <w:top w:w="0" w:type="dxa"/>
          <w:start w:w="108" w:type="dxa"/>
          <w:bottom w:w="0" w:type="dxa"/>
          <w:end w:w="108" w:type="dxa"/>
        </w:tblCellMar>
      </w:tblPr>
      <w:tblGrid>
        <w:gridCol w:w="1368"/>
        <w:gridCol w:w="5130"/>
        <w:gridCol w:w="1530"/>
        <w:gridCol w:w="659"/>
      </w:tblGrid>
      <w:tr>
        <w:trPr>
          <w:tblHeader w:val="true"/>
        </w:trPr>
        <w:tc>
          <w:tcPr>
            <w:tcW w:w="1368" w:type="dxa"/>
            <w:tcBorders>
              <w:top w:val="single" w:sz="4" w:space="0" w:color="000000"/>
              <w:start w:val="single" w:sz="4" w:space="0" w:color="000000"/>
              <w:bottom w:val="single" w:sz="4" w:space="0" w:color="000000"/>
              <w:end w:val="single" w:sz="4" w:space="0" w:color="000000"/>
            </w:tcBorders>
            <w:shd w:fill="BFBFBF" w:val="clear"/>
          </w:tcPr>
          <w:p>
            <w:pPr>
              <w:pStyle w:val="Normal"/>
              <w:rPr>
                <w:b/>
                <w:sz w:val="20"/>
              </w:rPr>
            </w:pPr>
            <w:r>
              <w:rPr>
                <w:b/>
                <w:sz w:val="20"/>
              </w:rPr>
              <w:t>Time</w:t>
            </w:r>
          </w:p>
        </w:tc>
        <w:tc>
          <w:tcPr>
            <w:tcW w:w="5130" w:type="dxa"/>
            <w:tcBorders>
              <w:top w:val="single" w:sz="4" w:space="0" w:color="000000"/>
              <w:start w:val="single" w:sz="4" w:space="0" w:color="000000"/>
              <w:bottom w:val="single" w:sz="4" w:space="0" w:color="000000"/>
              <w:end w:val="single" w:sz="4" w:space="0" w:color="000000"/>
            </w:tcBorders>
            <w:shd w:fill="BFBFBF" w:val="clear"/>
          </w:tcPr>
          <w:p>
            <w:pPr>
              <w:pStyle w:val="Heading1"/>
              <w:rPr>
                <w:b w:val="false"/>
              </w:rPr>
            </w:pPr>
            <w:r>
              <w:rPr/>
              <w:t>Task</w:t>
            </w:r>
          </w:p>
        </w:tc>
        <w:tc>
          <w:tcPr>
            <w:tcW w:w="1530" w:type="dxa"/>
            <w:tcBorders>
              <w:top w:val="single" w:sz="4" w:space="0" w:color="000000"/>
              <w:start w:val="single" w:sz="4" w:space="0" w:color="000000"/>
              <w:bottom w:val="single" w:sz="4" w:space="0" w:color="000000"/>
              <w:end w:val="single" w:sz="4" w:space="0" w:color="000000"/>
            </w:tcBorders>
            <w:shd w:fill="BFBFBF" w:val="clear"/>
          </w:tcPr>
          <w:p>
            <w:pPr>
              <w:pStyle w:val="Normal"/>
              <w:rPr>
                <w:b/>
                <w:sz w:val="20"/>
              </w:rPr>
            </w:pPr>
            <w:r>
              <w:rPr>
                <w:b/>
                <w:sz w:val="20"/>
              </w:rPr>
              <w:t>Responsibility</w:t>
            </w:r>
          </w:p>
        </w:tc>
        <w:tc>
          <w:tcPr>
            <w:tcW w:w="659" w:type="dxa"/>
            <w:tcBorders>
              <w:top w:val="single" w:sz="4" w:space="0" w:color="000000"/>
              <w:start w:val="single" w:sz="4" w:space="0" w:color="000000"/>
              <w:bottom w:val="single" w:sz="4" w:space="0" w:color="000000"/>
              <w:end w:val="single" w:sz="4" w:space="0" w:color="000000"/>
            </w:tcBorders>
            <w:shd w:fill="BFBFBF" w:val="clear"/>
          </w:tcPr>
          <w:p>
            <w:pPr>
              <w:pStyle w:val="Normal"/>
              <w:rPr/>
            </w:pPr>
            <w:r>
              <w:rPr>
                <w:b/>
                <w:sz w:val="20"/>
              </w:rPr>
              <w:t>(</w:t>
            </w:r>
            <w:r>
              <w:rPr>
                <w:rFonts w:eastAsia="Wingdings" w:cs="Wingdings" w:ascii="Wingdings" w:hAnsi="Wingdings"/>
                <w:b/>
                <w:sz w:val="20"/>
              </w:rPr>
              <w:sym w:font="Wingdings" w:char="f0fc"/>
            </w:r>
            <w:r>
              <w:rPr>
                <w:b/>
                <w:sz w:val="20"/>
              </w:rPr>
              <w:t>)</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All day</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Download meter data from MDAS/STAR</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SCs</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Before 1600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Analyze settlement results for August 3 for accuracy</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After 1600</w:t>
            </w:r>
          </w:p>
        </w:tc>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Download settlement files for August 3</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w:t>
            </w:r>
          </w:p>
        </w:tc>
        <w:tc>
          <w:tcPr>
            <w:tcW w:w="659"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Heading1"/>
        <w:rPr/>
      </w:pPr>
      <w:r>
        <w:rPr/>
        <w:t>Wednesday, August 9, 2000 and Thursday, August 10, 2000</w:t>
      </w:r>
    </w:p>
    <w:p>
      <w:pPr>
        <w:pStyle w:val="Normal"/>
        <w:rPr>
          <w:sz w:val="20"/>
        </w:rPr>
      </w:pPr>
      <w:r>
        <w:rPr>
          <w:sz w:val="20"/>
        </w:rPr>
      </w:r>
    </w:p>
    <w:p>
      <w:pPr>
        <w:pStyle w:val="Normal"/>
        <w:rPr>
          <w:b/>
          <w:sz w:val="20"/>
        </w:rPr>
      </w:pPr>
      <w:r>
        <w:rPr>
          <w:b/>
          <w:sz w:val="20"/>
        </w:rPr>
        <w:t>NO CONFERENCE CALL SCHEDULED TODAY</w:t>
      </w:r>
    </w:p>
    <w:p>
      <w:pPr>
        <w:pStyle w:val="Heading1"/>
        <w:rPr>
          <w:b w:val="false"/>
          <w:i/>
          <w:i/>
        </w:rPr>
      </w:pPr>
      <w:r>
        <w:rPr>
          <w:b w:val="false"/>
          <w:i/>
        </w:rPr>
        <w:t>SC review</w:t>
      </w:r>
    </w:p>
    <w:p>
      <w:pPr>
        <w:pStyle w:val="Normal"/>
        <w:rPr>
          <w:b/>
          <w:i/>
          <w:i/>
        </w:rPr>
      </w:pPr>
      <w:r>
        <w:rPr>
          <w:b/>
          <w:i/>
        </w:rPr>
      </w:r>
    </w:p>
    <w:p>
      <w:pPr>
        <w:pStyle w:val="Heading1"/>
        <w:rPr/>
      </w:pPr>
      <w:r>
        <w:rPr/>
        <w:t>Friday, August 11, 2000</w:t>
      </w:r>
    </w:p>
    <w:p>
      <w:pPr>
        <w:pStyle w:val="Normal"/>
        <w:rPr/>
      </w:pPr>
      <w:r>
        <w:rPr/>
      </w:r>
    </w:p>
    <w:p>
      <w:pPr>
        <w:pStyle w:val="Normal"/>
        <w:rPr>
          <w:sz w:val="20"/>
        </w:rPr>
      </w:pPr>
      <w:r>
        <w:rPr>
          <w:i/>
          <w:sz w:val="20"/>
        </w:rPr>
        <w:t>Conference Call – Market Simulation Review &amp;, Discussion</w:t>
      </w:r>
    </w:p>
    <w:p>
      <w:pPr>
        <w:pStyle w:val="Heading1"/>
        <w:rPr>
          <w:sz w:val="20"/>
        </w:rPr>
      </w:pPr>
      <w:r>
        <w:rPr>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ISO Market Operations</w:t>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w:rPr>
        <w:rStyle w:val="PageNumber"/>
        <w:sz w:val="20"/>
      </w:rPr>
      <w:tab/>
      <w:t>Last Revised:  7/25/00</w:t>
    </w:r>
  </w:p>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10_min_Market_Simulation_Test_Script_2.doc</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5">
          <wp:simplePos x="0" y="0"/>
          <wp:positionH relativeFrom="column">
            <wp:posOffset>-718820</wp:posOffset>
          </wp:positionH>
          <wp:positionV relativeFrom="paragraph">
            <wp:posOffset>-130810</wp:posOffset>
          </wp:positionV>
          <wp:extent cx="3599180" cy="818515"/>
          <wp:effectExtent l="0" t="0" r="0" b="0"/>
          <wp:wrapTopAndBottom/>
          <wp:docPr id="1" name="logo%20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color" descr="" title=""/>
                  <pic:cNvPicPr>
                    <a:picLocks noChangeAspect="1" noChangeArrowheads="1"/>
                  </pic:cNvPicPr>
                </pic:nvPicPr>
                <pic:blipFill>
                  <a:blip r:embed="rId1"/>
                  <a:srcRect l="-4" t="-19" r="-4" b="-19"/>
                  <a:stretch>
                    <a:fillRect/>
                  </a:stretch>
                </pic:blipFill>
                <pic:spPr bwMode="auto">
                  <a:xfrm>
                    <a:off x="0" y="0"/>
                    <a:ext cx="3599180" cy="818515"/>
                  </a:xfrm>
                  <a:prstGeom prst="rect">
                    <a:avLst/>
                  </a:prstGeom>
                  <a:noFill/>
                </pic:spPr>
              </pic:pic>
            </a:graphicData>
          </a:graphic>
        </wp:anchor>
      </w:drawing>
    </w:r>
    <w:r>
      <mc:AlternateContent>
        <mc:Choice Requires="wps">
          <w:drawing>
            <wp:anchor behindDoc="1" distT="0" distB="0" distL="114935" distR="114935" simplePos="0" locked="0" layoutInCell="1" allowOverlap="1" relativeHeight="9">
              <wp:simplePos x="0" y="0"/>
              <wp:positionH relativeFrom="column">
                <wp:posOffset>4709160</wp:posOffset>
              </wp:positionH>
              <wp:positionV relativeFrom="paragraph">
                <wp:posOffset>107950</wp:posOffset>
              </wp:positionV>
              <wp:extent cx="1188720" cy="365760"/>
              <wp:effectExtent l="0" t="0" r="0" b="0"/>
              <wp:wrapNone/>
              <wp:docPr id="2" name="Frame1"/>
              <a:graphic xmlns:a="http://schemas.openxmlformats.org/drawingml/2006/main">
                <a:graphicData uri="http://schemas.microsoft.com/office/word/2010/wordprocessingShape">
                  <wps:wsp>
                    <wps:cNvSpPr txBox="1"/>
                    <wps:spPr>
                      <a:xfrm>
                        <a:off x="0" y="0"/>
                        <a:ext cx="1188720" cy="365760"/>
                      </a:xfrm>
                      <a:prstGeom prst="rect"/>
                      <a:solidFill>
                        <a:srgbClr val="FFFFFF">
                          <a:alpha val="0"/>
                        </a:srgbClr>
                      </a:solidFill>
                    </wps:spPr>
                    <wps:txbx>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wps:txbx>
                    <wps:bodyPr anchor="t" lIns="92075" tIns="46355" rIns="92075" bIns="46355">
                      <a:noAutofit/>
                    </wps:bodyPr>
                  </wps:wsp>
                </a:graphicData>
              </a:graphic>
            </wp:anchor>
          </w:drawing>
        </mc:Choice>
        <mc:Fallback>
          <w:pict>
            <v:rect fillcolor="#FFFFFF" style="position:absolute;rotation:-0;width:93.6pt;height:28.8pt;mso-wrap-distance-left:9.05pt;mso-wrap-distance-right:9.05pt;mso-wrap-distance-top:0pt;mso-wrap-distance-bottom:0pt;margin-top:8.5pt;mso-position-vertical-relative:text;margin-left:370.8pt;mso-position-horizontal-relative:text">
              <v:fill opacity="0f"/>
              <v:textbox inset="0.100694444444444in,0.0506944444444444in,0.100694444444444in,0.0506944444444444in">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0"/>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outlineLvl w:val="0"/>
    </w:pPr>
    <w:rPr>
      <w:b/>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outlineLvl w:val="2"/>
    </w:pPr>
    <w:rPr>
      <w:i/>
      <w:sz w:val="20"/>
    </w:rPr>
  </w:style>
  <w:style w:type="paragraph" w:styleId="Heading4">
    <w:name w:val="heading 4"/>
    <w:basedOn w:val="Normal"/>
    <w:next w:val="Normal"/>
    <w:qFormat/>
    <w:pPr>
      <w:keepNext w:val="true"/>
      <w:outlineLvl w:val="3"/>
    </w:pPr>
    <w:rPr>
      <w:sz w:val="20"/>
      <w:u w:val="single"/>
    </w:rPr>
  </w:style>
  <w:style w:type="paragraph" w:styleId="Heading5">
    <w:name w:val="heading 5"/>
    <w:basedOn w:val="Normal"/>
    <w:next w:val="Normal"/>
    <w:qFormat/>
    <w:pPr>
      <w:keepNext w:val="true"/>
      <w:outlineLvl w:val="4"/>
    </w:pPr>
    <w:rPr>
      <w:b/>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4">
    <w:name w:val="toc 4"/>
    <w:basedOn w:val="Normal"/>
    <w:next w:val="Normal"/>
    <w:pPr>
      <w:tabs>
        <w:tab w:val="clear" w:pos="720"/>
        <w:tab w:val="left" w:pos="1195" w:leader="none"/>
        <w:tab w:val="left" w:pos="1680" w:leader="none"/>
        <w:tab w:val="right" w:pos="8266" w:leader="dot"/>
      </w:tabs>
      <w:ind w:hanging="0" w:start="446" w:end="0"/>
    </w:pPr>
    <w:rPr>
      <w:sz w:val="20"/>
      <w:lang w:val="en-CA"/>
    </w:rPr>
  </w:style>
  <w:style w:type="paragraph" w:styleId="TableofFigures">
    <w:name w:val="Table of Figures"/>
    <w:basedOn w:val="Normal"/>
    <w:next w:val="Normal"/>
    <w:qFormat/>
    <w:pPr>
      <w:tabs>
        <w:tab w:val="clear" w:pos="720"/>
        <w:tab w:val="right" w:pos="8266" w:leader="dot"/>
      </w:tabs>
      <w:ind w:hanging="480" w:start="480" w:end="0"/>
    </w:pPr>
    <w:rPr>
      <w:sz w:val="2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2000-07-25T21:37:00Z</dcterms:created>
  <dc:creator>Christine G. Vangelatos</dc:creator>
  <dc:description/>
  <dc:language>en-CA</dc:language>
  <cp:lastModifiedBy>Christine G. Vangelatos</cp:lastModifiedBy>
  <cp:lastPrinted>1999-07-22T10:04:00Z</cp:lastPrinted>
  <dcterms:modified xsi:type="dcterms:W3CDTF">2000-07-25T21:37:00Z</dcterms:modified>
  <cp:revision>2</cp:revision>
  <dc:subject/>
  <dc:title>ISO Market Simulation</dc:title>
</cp:coreProperties>
</file>