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SDG&amp;E Advice Letter Summary</w:t>
      </w:r>
    </w:p>
    <w:p>
      <w:pPr>
        <w:pStyle w:val="Body"/>
        <w:ind w:hanging="0" w:end="0"/>
        <w:jc w:val="center"/>
        <w:rPr/>
      </w:pPr>
      <w:r>
        <w:rPr/>
        <w:t>October 9, 2000</w:t>
        <w:b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1221-G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10/5/00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10/25/00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be of Interest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Normal"/>
              <w:jc w:val="both"/>
              <w:rPr/>
            </w:pPr>
            <w:r>
              <w:rPr/>
              <w:t>The purpose of this filing is submit changes to core rates; the one-year purchase commitment rates for Schedule GCORE; the monthly purchase commitment rate for Schedule GPNC-S; the franchise fee surcharge rates under Schedule GP-SUR; the standby procurement, buyback rates and daily balancing standby rates under Schedule G-IMB; and the core interstate transition cost surcharge.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u w:val="single"/>
              </w:rPr>
            </w:pPr>
            <w:r>
              <w:rPr/>
              <w:t>Enron’s gas rate analysts may find this of interest, although it does not appear to be protest material.</w:t>
            </w:r>
          </w:p>
          <w:p>
            <w:pPr>
              <w:pStyle w:val="Normal"/>
              <w:tabs>
                <w:tab w:val="clear" w:pos="720"/>
                <w:tab w:val="left" w:pos="9180" w:leader="none"/>
              </w:tabs>
              <w:ind w:start="720" w:end="0"/>
              <w:jc w:val="both"/>
              <w:rPr/>
            </w:pPr>
            <w:r>
              <w:rPr/>
              <w:t xml:space="preserve"> </w:t>
            </w:r>
          </w:p>
        </w:tc>
      </w:tr>
    </w:tbl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1262-E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10/6/00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10/26/00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Normal"/>
              <w:rPr/>
            </w:pPr>
            <w:r>
              <w:rPr/>
              <w:t>This advice letter requests permission to transfer to the TCBA a year-end overcollection in the tree trimming and rewards and penalties balancing accounts, in order to offset the revenue shortfall resulting from the Interim Bill Stabilization Plan.  The estimated year-end balances for these accounts total $24 million.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The advice letter also says that, subject to FERC approval, the utility also intends to transfer to the TCBA an $18.9 million RMR refund resulting from overpayments to RMR generators.  In mid-October, SDG&amp;E will be making its annual filing at FERC to revise the RMR revenue requirement.  In that filing, SDG&amp;E will propose to transfer the refund to the TCBA.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SDG&amp;E justifies these various transfers based on language in D.00-09-040 which says that “any net revenues associated with utility-owned or managed generation assets will offset any undercollections associated with application of the stabilization plan.  Conceptually, these procedures are consistent with the legislation [referring to AB 265].”</w:t>
            </w:r>
          </w:p>
          <w:p>
            <w:pPr>
              <w:pStyle w:val="Normal"/>
              <w:tabs>
                <w:tab w:val="clear" w:pos="720"/>
                <w:tab w:val="left" w:pos="9180" w:leader="none"/>
              </w:tabs>
              <w:ind w:start="720" w:end="0"/>
              <w:jc w:val="both"/>
              <w:rPr/>
            </w:pPr>
            <w:r>
              <w:rPr/>
            </w:r>
          </w:p>
        </w:tc>
      </w:tr>
    </w:tbl>
    <w:p>
      <w:pPr>
        <w:pStyle w:val="Body"/>
        <w:ind w:hanging="0" w:end="0"/>
        <w:jc w:val="center"/>
        <w:rPr>
          <w:b/>
          <w:bCs/>
          <w:u w:val="single"/>
        </w:rPr>
      </w:pPr>
      <w:r>
        <w:br w:type="page"/>
      </w: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1222-G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10/5/00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10/25/00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Be of Interest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Normal"/>
              <w:rPr/>
            </w:pPr>
            <w:r>
              <w:rPr/>
              <w:t>This advice letter is a follow-up to AL 1198-G which was filed on May 19, 2000, and approved by the Energy Division effective June 1.  It submits for approval a proposal for returning the balance in the Global Settlement Prepayment Balancing Account to the utility’s gas customers. The previous overcollection of slightly over $28 million transferred the UEG portion to the TCBA and the remainder to core and noncore customers according to D.00-04-060.  SDG&amp;E now seeks to  revise the currently approved allocation of the overcollection among its core, noncore and UEG customers to specify the split between UEG and other noncore customers.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This appears to be an effort to increase funds flowing to the TCBA.  Enron may want to review this.</w:t>
            </w:r>
          </w:p>
          <w:p>
            <w:pPr>
              <w:pStyle w:val="Normal"/>
              <w:tabs>
                <w:tab w:val="clear" w:pos="720"/>
                <w:tab w:val="left" w:pos="9180" w:leader="none"/>
              </w:tabs>
              <w:ind w:start="720" w:end="0"/>
              <w:jc w:val="both"/>
              <w:rPr/>
            </w:pPr>
            <w:r>
              <w:rPr/>
            </w:r>
          </w:p>
        </w:tc>
      </w:tr>
    </w:tbl>
    <w:p>
      <w:pPr>
        <w:pStyle w:val="Body"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SDG&amp;E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Strong">
    <w:name w:val="Strong"/>
    <w:qFormat/>
    <w:rPr>
      <w:b/>
      <w:bCs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>
      <w:sz w:val="24"/>
      <w:szCs w:val="24"/>
    </w:rPr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>
      <w:sz w:val="24"/>
      <w:szCs w:val="24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  <w:jc w:val="start"/>
    </w:pPr>
    <w:rPr/>
  </w:style>
  <w:style w:type="paragraph" w:styleId="IndentOneInch">
    <w:name w:val="IndentOneInch"/>
    <w:basedOn w:val="Body"/>
    <w:qFormat/>
    <w:pPr>
      <w:ind w:firstLine="720" w:start="1440" w:end="0"/>
      <w:jc w:val="start"/>
    </w:pPr>
    <w:rPr/>
  </w:style>
  <w:style w:type="paragraph" w:styleId="IndentTwoInches">
    <w:name w:val="IndentTwoInches"/>
    <w:basedOn w:val="Body"/>
    <w:qFormat/>
    <w:pPr>
      <w:ind w:firstLine="720" w:start="2880" w:end="0"/>
      <w:jc w:val="start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2000-10-09T13:40:00Z</dcterms:created>
  <dc:creator>Arter &amp; Hadden</dc:creator>
  <dc:description/>
  <dc:language>en-CA</dc:language>
  <cp:lastModifiedBy>Arter &amp; Hadden</cp:lastModifiedBy>
  <cp:lastPrinted>2000-09-25T10:54:00Z</cp:lastPrinted>
  <dcterms:modified xsi:type="dcterms:W3CDTF">2000-10-09T15:14:00Z</dcterms:modified>
  <cp:revision>5</cp:revision>
  <dc:subject/>
  <dc:title>A</dc:title>
</cp:coreProperties>
</file>