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spacing w:before="0" w:after="240"/>
        <w:rPr/>
      </w:pPr>
      <w:r>
        <w:rPr/>
        <w:t>October 4, 2001</w:t>
      </w:r>
    </w:p>
    <w:p>
      <w:pPr>
        <w:pStyle w:val="zNames"/>
        <w:spacing w:before="0" w:after="0"/>
        <w:rPr/>
      </w:pPr>
      <w:bookmarkStart w:id="0" w:name="AddName"/>
      <w:bookmarkEnd w:id="0"/>
      <w:r>
        <w:rPr/>
        <w:t>Paul Clanon, Director</w:t>
      </w:r>
    </w:p>
    <w:p>
      <w:pPr>
        <w:pStyle w:val="zNames"/>
        <w:spacing w:before="0" w:after="0"/>
        <w:rPr/>
      </w:pPr>
      <w:r>
        <w:rPr/>
        <w:t>Energy Division</w:t>
      </w:r>
    </w:p>
    <w:p>
      <w:pPr>
        <w:pStyle w:val="zNames"/>
        <w:spacing w:before="0" w:after="0"/>
        <w:rPr/>
      </w:pPr>
      <w:r>
        <w:rPr/>
        <w:t>California Public Utilities Commission</w:t>
      </w:r>
    </w:p>
    <w:p>
      <w:pPr>
        <w:pStyle w:val="InsideAddress"/>
        <w:rPr/>
      </w:pPr>
      <w:bookmarkStart w:id="1" w:name="InsideAdd"/>
      <w:bookmarkEnd w:id="1"/>
      <w:r>
        <w:rPr/>
        <w:t>505 Van Ness Avenue</w:t>
      </w:r>
    </w:p>
    <w:p>
      <w:pPr>
        <w:pStyle w:val="InsideAddress"/>
        <w:rPr/>
      </w:pPr>
      <w:r>
        <w:rPr/>
        <w:t>San Francisco, CA  94102</w:t>
      </w:r>
    </w:p>
    <w:tbl>
      <w:tblPr>
        <w:tblW w:w="6588" w:type="dxa"/>
        <w:jc w:val="start"/>
        <w:tblInd w:w="1440" w:type="dxa"/>
        <w:tblLayout w:type="fixed"/>
        <w:tblCellMar>
          <w:top w:w="0" w:type="dxa"/>
          <w:start w:w="108" w:type="dxa"/>
          <w:bottom w:w="0" w:type="dxa"/>
          <w:end w:w="108" w:type="dxa"/>
        </w:tblCellMar>
      </w:tblPr>
      <w:tblGrid>
        <w:gridCol w:w="720"/>
        <w:gridCol w:w="5868"/>
      </w:tblGrid>
      <w:tr>
        <w:trPr/>
        <w:tc>
          <w:tcPr>
            <w:tcW w:w="720" w:type="dxa"/>
            <w:tcBorders/>
          </w:tcPr>
          <w:p>
            <w:pPr>
              <w:pStyle w:val="Re"/>
              <w:spacing w:before="240" w:after="0"/>
              <w:rPr>
                <w:b/>
              </w:rPr>
            </w:pPr>
            <w:r>
              <w:rPr>
                <w:b/>
              </w:rPr>
              <w:t>Re:</w:t>
            </w:r>
          </w:p>
        </w:tc>
        <w:tc>
          <w:tcPr>
            <w:tcW w:w="5868" w:type="dxa"/>
            <w:tcBorders/>
          </w:tcPr>
          <w:p>
            <w:pPr>
              <w:pStyle w:val="Re"/>
              <w:spacing w:before="360" w:after="0"/>
              <w:rPr>
                <w:b/>
              </w:rPr>
            </w:pPr>
            <w:bookmarkStart w:id="2" w:name="Subject"/>
            <w:bookmarkEnd w:id="2"/>
            <w:r>
              <w:rPr>
                <w:b/>
              </w:rPr>
              <w:t>D.01-09-060</w:t>
            </w:r>
          </w:p>
        </w:tc>
      </w:tr>
    </w:tbl>
    <w:p>
      <w:pPr>
        <w:pStyle w:val="Salutation"/>
        <w:spacing w:before="240" w:after="0"/>
        <w:rPr/>
      </w:pPr>
      <w:bookmarkStart w:id="3" w:name="Salutation"/>
      <w:bookmarkEnd w:id="3"/>
      <w:r>
        <w:rPr/>
        <w:t>Dear Mr. Clanon:</w:t>
      </w:r>
    </w:p>
    <w:p>
      <w:pPr>
        <w:pStyle w:val="LetterText"/>
        <w:rPr/>
      </w:pPr>
      <w:bookmarkStart w:id="4" w:name="Start"/>
      <w:bookmarkEnd w:id="4"/>
      <w:r>
        <w:rPr/>
        <w:t>In compliance with Decision 01-09-060 (D.01-09-060), Ordering Paragraph 8, Southern California Edison Company (SCE) hereby informs the Director of the Energy Division of the steps SCE has taken to ensure that no Direct Access Service Requests (DASRs) are accepted for any contracts or agreements entered into by a customer and an Electric Service Provider (ESP) after September 20, 2001.</w:t>
      </w:r>
      <w:r>
        <w:rPr>
          <w:rStyle w:val="FootnoteCharacters"/>
          <w:rStyle w:val="FootnoteReference"/>
        </w:rPr>
        <w:footnoteReference w:id="2"/>
      </w:r>
      <w:r>
        <w:rPr/>
        <w:t xml:space="preserve"> </w:t>
      </w:r>
    </w:p>
    <w:p>
      <w:pPr>
        <w:pStyle w:val="LetterText"/>
        <w:rPr/>
      </w:pPr>
      <w:r>
        <w:rPr/>
        <w:t>In issuing D.01-09-060, the Commission suspended the right to enter into direct access contracts or agreements after September 20, 2001.  Specifically, the Commission ordered that:</w:t>
      </w:r>
    </w:p>
    <w:p>
      <w:pPr>
        <w:pStyle w:val="Quote1"/>
        <w:rPr/>
      </w:pPr>
      <w:r>
        <w:rPr/>
        <w:t>“</w:t>
      </w:r>
      <w:r>
        <w:rPr/>
        <w:t>4. The execution of any new contracts, or the entering into, or the verification of any new arrangements for direct access service pursuant to Public Utilities Code Sections 366 or 366.5, after September 20, 2001, is prohibited . . .</w:t>
      </w:r>
    </w:p>
    <w:p>
      <w:pPr>
        <w:pStyle w:val="Quote1"/>
        <w:rPr/>
      </w:pPr>
      <w:r>
        <w:rPr/>
        <w:t>7. PG&amp;E, SDG&amp;E and SCE shall not accept any direct access service requests for any contracts executed or agreements entered into after September 20, 2001.”</w:t>
      </w:r>
      <w:r>
        <w:rPr>
          <w:rStyle w:val="FootnoteCharacters"/>
          <w:rStyle w:val="FootnoteReference"/>
        </w:rPr>
        <w:footnoteReference w:id="3"/>
      </w:r>
    </w:p>
    <w:p>
      <w:pPr>
        <w:pStyle w:val="LetterText"/>
        <w:rPr/>
      </w:pPr>
      <w:r>
        <w:rPr/>
        <w:t>Therefore, according to the Commission’s directive, effective September 20, 2001, customers and ESPs may not:  (1) execute any new contracts for direct access service; (2) enter into any new arrangements for direct access service; or (3) verify any new arrangements for direct access service.</w:t>
      </w:r>
    </w:p>
    <w:p>
      <w:pPr>
        <w:pStyle w:val="LetterText"/>
        <w:rPr/>
      </w:pPr>
      <w:r>
        <w:rPr/>
        <w:t xml:space="preserve">On September 21, 2001, in compliance with D.01-09-060, SCE electronically notified all active ESPs in its service territory that direct access had been suspended effective September 20.  In implementing the Decision, SCE does not intend to review or inspect all contracts between ESPs and their customers, as SCE would like to avoid being in a policing role with regard to ESPs and their contracts with their customers.  Instead, following the direction given by the Commission in D.01-09-060, SCE requested ESPs to </w:t>
      </w:r>
      <w:r>
        <w:rPr>
          <w:color w:val="000000"/>
        </w:rPr>
        <w:t>provide SCE with a certified list of their direct access customers that have written contracts or agreements executed on or before September 20, 2001, for which DASRs had not yet been submitted.</w:t>
      </w:r>
      <w:r>
        <w:rPr>
          <w:rStyle w:val="FootnoteCharacters"/>
          <w:rStyle w:val="FootnoteReference"/>
          <w:color w:val="000000"/>
        </w:rPr>
        <w:footnoteReference w:id="4"/>
      </w:r>
      <w:r>
        <w:rPr>
          <w:color w:val="000000"/>
        </w:rPr>
        <w:t xml:space="preserve">  SCE requested the following information for each customer on this list:</w:t>
      </w:r>
    </w:p>
    <w:p>
      <w:pPr>
        <w:pStyle w:val="Normal"/>
        <w:keepLines/>
        <w:autoSpaceDE w:val="false"/>
        <w:spacing w:lineRule="atLeast" w:line="240"/>
        <w:rPr>
          <w:rFonts w:ascii="NewCenturySchlbk" w:hAnsi="NewCenturySchlbk" w:cs="NewCenturySchlbk"/>
          <w:color w:val="000000"/>
        </w:rPr>
      </w:pPr>
      <w:r>
        <w:rPr>
          <w:rFonts w:cs="NewCenturySchlbk" w:ascii="NewCenturySchlbk" w:hAnsi="NewCenturySchlbk"/>
          <w:color w:val="000000"/>
        </w:rPr>
      </w:r>
    </w:p>
    <w:p>
      <w:pPr>
        <w:pStyle w:val="Normal"/>
        <w:autoSpaceDE w:val="false"/>
        <w:spacing w:lineRule="atLeast" w:line="240"/>
        <w:rPr>
          <w:rFonts w:ascii="NewCenturySchlbk" w:hAnsi="NewCenturySchlbk" w:cs="NewCenturySchlbk"/>
          <w:color w:val="000000"/>
        </w:rPr>
      </w:pPr>
      <w:r>
        <w:rPr>
          <w:rFonts w:cs="NewCenturySchlbk" w:ascii="NewCenturySchlbk" w:hAnsi="NewCenturySchlbk"/>
          <w:color w:val="000000"/>
        </w:rPr>
        <w:tab/>
        <w:t>·</w:t>
        <w:tab/>
        <w:t>Customer Name</w:t>
      </w:r>
    </w:p>
    <w:p>
      <w:pPr>
        <w:pStyle w:val="Normal"/>
        <w:autoSpaceDE w:val="false"/>
        <w:spacing w:lineRule="atLeast" w:line="240"/>
        <w:rPr>
          <w:rFonts w:ascii="NewCenturySchlbk" w:hAnsi="NewCenturySchlbk" w:cs="NewCenturySchlbk"/>
          <w:color w:val="000000"/>
        </w:rPr>
      </w:pPr>
      <w:r>
        <w:rPr>
          <w:rFonts w:cs="NewCenturySchlbk" w:ascii="NewCenturySchlbk" w:hAnsi="NewCenturySchlbk"/>
          <w:color w:val="000000"/>
        </w:rPr>
        <w:tab/>
        <w:t>·</w:t>
        <w:tab/>
        <w:t>Service Account Number</w:t>
      </w:r>
    </w:p>
    <w:p>
      <w:pPr>
        <w:pStyle w:val="Normal"/>
        <w:autoSpaceDE w:val="false"/>
        <w:spacing w:lineRule="atLeast" w:line="240"/>
        <w:rPr>
          <w:rFonts w:ascii="NewCenturySchlbk" w:hAnsi="NewCenturySchlbk" w:cs="NewCenturySchlbk"/>
          <w:color w:val="000000"/>
        </w:rPr>
      </w:pPr>
      <w:r>
        <w:rPr>
          <w:rFonts w:cs="NewCenturySchlbk" w:ascii="NewCenturySchlbk" w:hAnsi="NewCenturySchlbk"/>
          <w:color w:val="000000"/>
        </w:rPr>
        <w:tab/>
        <w:t>·</w:t>
        <w:tab/>
        <w:t>Service Address</w:t>
      </w:r>
    </w:p>
    <w:p>
      <w:pPr>
        <w:pStyle w:val="Normal"/>
        <w:autoSpaceDE w:val="false"/>
        <w:spacing w:lineRule="atLeast" w:line="240"/>
        <w:rPr>
          <w:rFonts w:ascii="NewCenturySchlbk" w:hAnsi="NewCenturySchlbk" w:cs="NewCenturySchlbk"/>
          <w:color w:val="000000"/>
        </w:rPr>
      </w:pPr>
      <w:r>
        <w:rPr>
          <w:rFonts w:cs="NewCenturySchlbk" w:ascii="NewCenturySchlbk" w:hAnsi="NewCenturySchlbk"/>
          <w:color w:val="000000"/>
        </w:rPr>
        <w:tab/>
        <w:t>·</w:t>
        <w:tab/>
        <w:t>Contract Date</w:t>
      </w:r>
    </w:p>
    <w:p>
      <w:pPr>
        <w:pStyle w:val="LetterText"/>
        <w:rPr/>
      </w:pPr>
      <w:r>
        <w:rPr>
          <w:color w:val="000000"/>
        </w:rPr>
        <w:t xml:space="preserve">SCE requested the ESPs to provide SCE with their customer lists no later than </w:t>
      </w:r>
      <w:r>
        <w:rPr>
          <w:b/>
          <w:color w:val="000000"/>
        </w:rPr>
        <w:t>September 24, 2001</w:t>
      </w:r>
      <w:r>
        <w:rPr>
          <w:color w:val="000000"/>
        </w:rPr>
        <w:t xml:space="preserve">.  As a result of requests for additional time made by several ESPs at the Rule 22 Working Group Meeting attended by SCE, PG&amp;E, SDG&amp;E, and several ESPs on October 2, 2001, SCE has agreed to allow ESPs until </w:t>
      </w:r>
      <w:r>
        <w:rPr>
          <w:b/>
          <w:color w:val="000000"/>
        </w:rPr>
        <w:t>October 5, 2001</w:t>
      </w:r>
      <w:r>
        <w:rPr>
          <w:color w:val="000000"/>
        </w:rPr>
        <w:t>, to supplement their lists.  SCE believes this is a reasonable timeframe, given that the ESPs simply need to provide customer information for contracts that have already been executed or agreements that have already been entered into on or before September 20, 2001, but for whom the ESP has not yet had the chance to submit DASRs.  Indeed, all active ESPs within SCE’s territory submitted lists (with varying degrees of identifying information) to SCE.  SCE has been working with those ESPs to gather additional information that will be necessary to process DASRs.</w:t>
      </w:r>
    </w:p>
    <w:p>
      <w:pPr>
        <w:pStyle w:val="LetterText"/>
        <w:rPr/>
      </w:pPr>
      <w:r>
        <w:rPr>
          <w:color w:val="000000"/>
        </w:rPr>
        <w:t xml:space="preserve">SCE has requested that ESPs submit any DASRs for customers on their list of eligible accounts within 30 days of the effective date of the Decision (i.e. by </w:t>
      </w:r>
      <w:r>
        <w:rPr>
          <w:b/>
          <w:color w:val="000000"/>
        </w:rPr>
        <w:t>October 20, 2001</w:t>
      </w:r>
      <w:r>
        <w:rPr>
          <w:color w:val="000000"/>
        </w:rPr>
        <w:t>).  This 30-day time period was implemented consistent with the Commission’s express statement in D.01</w:t>
        <w:noBreakHyphen/>
        <w:t>09</w:t>
        <w:noBreakHyphen/>
        <w:t xml:space="preserve">060 that it would not be in the public interest for the Commission to delay action to suspend direct access beyond September 20, 2001, because a stable customer base is required to ensure a continuous revenue stream to repay the revenue bonds, and because now is the time to prevent customers </w:t>
      </w:r>
      <w:r>
        <w:br w:type="page"/>
      </w:r>
    </w:p>
    <w:p>
      <w:pPr>
        <w:pStyle w:val="LetterText"/>
        <w:ind w:hanging="0" w:end="0"/>
        <w:rPr/>
      </w:pPr>
      <w:r>
        <w:rPr>
          <w:color w:val="000000"/>
        </w:rPr>
        <w:t>from switching from utility bundled service to ESPs in order to shift to others some of the impact of higher rates.</w:t>
      </w:r>
      <w:r>
        <w:rPr>
          <w:rStyle w:val="FootnoteCharacters"/>
          <w:rStyle w:val="FootnoteReference"/>
          <w:color w:val="000000"/>
        </w:rPr>
        <w:footnoteReference w:id="5"/>
      </w:r>
      <w:r>
        <w:rPr>
          <w:color w:val="000000"/>
        </w:rPr>
        <w:t xml:space="preserve">  SCE believes that 30 days is a reasonable time period for submitting DASRs given the Commission’s expressed intent to suspend direct access effective September 20, 2001.</w:t>
      </w:r>
      <w:r>
        <w:rPr>
          <w:rStyle w:val="FootnoteCharacters"/>
          <w:rStyle w:val="FootnoteReference"/>
          <w:color w:val="000000"/>
        </w:rPr>
        <w:footnoteReference w:id="6"/>
      </w:r>
    </w:p>
    <w:p>
      <w:pPr>
        <w:pStyle w:val="LetterText"/>
        <w:rPr/>
      </w:pPr>
      <w:r>
        <w:rPr>
          <w:color w:val="000000"/>
        </w:rPr>
        <w:t>SCE will continue to follow its existing procedures in processing connect DASRs</w:t>
      </w:r>
      <w:r>
        <w:rPr>
          <w:rStyle w:val="FootnoteCharacters"/>
          <w:rStyle w:val="FootnoteReference"/>
          <w:color w:val="000000"/>
        </w:rPr>
        <w:footnoteReference w:id="7"/>
      </w:r>
      <w:r>
        <w:rPr>
          <w:color w:val="000000"/>
        </w:rPr>
        <w:t xml:space="preserve"> for eligible accounts through October 20, 2001.  Thus, SCE will not accept the following types of DASRs:</w:t>
        <w:br/>
      </w:r>
    </w:p>
    <w:p>
      <w:pPr>
        <w:pStyle w:val="Normal"/>
        <w:autoSpaceDE w:val="false"/>
        <w:spacing w:lineRule="atLeast" w:line="240"/>
        <w:ind w:start="720" w:end="0"/>
        <w:rPr/>
      </w:pPr>
      <w:r>
        <w:rPr>
          <w:rFonts w:cs="NewCenturySchlbk" w:ascii="NewCenturySchlbk" w:hAnsi="NewCenturySchlbk"/>
          <w:color w:val="000000"/>
        </w:rPr>
        <w:t xml:space="preserve">1)  </w:t>
      </w:r>
      <w:r>
        <w:rPr>
          <w:rFonts w:cs="NewCenturySchlbk" w:ascii="NewCenturySchlbk" w:hAnsi="NewCenturySchlbk"/>
          <w:color w:val="000000"/>
          <w:u w:val="single"/>
        </w:rPr>
        <w:t>DASRs submitted after October 20, 2001</w:t>
      </w:r>
      <w:r>
        <w:rPr>
          <w:rFonts w:cs="NewCenturySchlbk" w:ascii="NewCenturySchlbk" w:hAnsi="NewCenturySchlbk"/>
          <w:color w:val="000000"/>
        </w:rPr>
        <w:t xml:space="preserve">:  As stated above, SCE will not accept connect DASRs after October 20, 2001.  SCE believes that 30 days is a reasonable time period for ESPs to submit connect DASRs for customers specified on their lists.  </w:t>
      </w:r>
    </w:p>
    <w:p>
      <w:pPr>
        <w:pStyle w:val="Normal"/>
        <w:autoSpaceDE w:val="false"/>
        <w:spacing w:lineRule="atLeast" w:line="240"/>
        <w:rPr>
          <w:rFonts w:ascii="NewCenturySchlbk" w:hAnsi="NewCenturySchlbk" w:cs="NewCenturySchlbk"/>
          <w:color w:val="000000"/>
        </w:rPr>
      </w:pPr>
      <w:r>
        <w:rPr>
          <w:rFonts w:cs="NewCenturySchlbk" w:ascii="NewCenturySchlbk" w:hAnsi="NewCenturySchlbk"/>
          <w:color w:val="000000"/>
        </w:rPr>
      </w:r>
    </w:p>
    <w:p>
      <w:pPr>
        <w:pStyle w:val="Normal"/>
        <w:autoSpaceDE w:val="false"/>
        <w:spacing w:lineRule="atLeast" w:line="240"/>
        <w:ind w:start="720" w:end="0"/>
        <w:rPr/>
      </w:pPr>
      <w:r>
        <w:rPr>
          <w:rFonts w:cs="NewCenturySchlbk" w:ascii="NewCenturySchlbk" w:hAnsi="NewCenturySchlbk"/>
          <w:color w:val="000000"/>
        </w:rPr>
        <w:t xml:space="preserve">2)  </w:t>
      </w:r>
      <w:r>
        <w:rPr>
          <w:rFonts w:cs="NewCenturySchlbk" w:ascii="NewCenturySchlbk" w:hAnsi="NewCenturySchlbk"/>
          <w:color w:val="000000"/>
          <w:u w:val="single"/>
        </w:rPr>
        <w:t>Future-dated DASRs</w:t>
      </w:r>
      <w:r>
        <w:rPr>
          <w:rFonts w:cs="NewCenturySchlbk" w:ascii="NewCenturySchlbk" w:hAnsi="NewCenturySchlbk"/>
          <w:color w:val="000000"/>
        </w:rPr>
        <w:t xml:space="preserve">:  SCE will not process connect DASRs outside of its normal processing schedule, whether the DASR is for a specified or unspecified future date. For example, SCE will not accept a connect DASR submitted on October 20, 2001, for direct access to begin on January 1, 2002 or some unspecified date in the future.  </w:t>
      </w:r>
    </w:p>
    <w:p>
      <w:pPr>
        <w:pStyle w:val="LetterText"/>
        <w:ind w:hanging="0" w:start="720" w:end="0"/>
        <w:rPr>
          <w:color w:val="000000"/>
        </w:rPr>
      </w:pPr>
      <w:r>
        <w:rPr>
          <w:color w:val="000000"/>
        </w:rPr>
        <w:t>SCE has been informed that several ESPs have “open-ended” contracts with their customers that allow the customers to obtain direct access service at anytime in the future, whether for an existing bundled service account or a new account based on a purchase or construction of a building to be completed in the future.  SCE will not process connect DASRs for service accounts that did not exist as of September 20, 2001, the effective date of the Decision.  For example, if an ESP simply listed the name “ABC Burgers” on its list of eligible accounts, SCE would not accept a DASR for a new ABC Burger franchise that opened up after September 20, 2001.  SCE considers this situation to be a “new arrangement” for direct access service for that service account which is prohibited by the Decision.</w:t>
      </w:r>
      <w:r>
        <w:br w:type="page"/>
      </w:r>
    </w:p>
    <w:p>
      <w:pPr>
        <w:pStyle w:val="Normal"/>
        <w:autoSpaceDE w:val="false"/>
        <w:spacing w:lineRule="atLeast" w:line="240"/>
        <w:ind w:start="720" w:end="0"/>
        <w:rPr/>
      </w:pPr>
      <w:r>
        <w:rPr>
          <w:rFonts w:cs="NewCenturySchlbk" w:ascii="NewCenturySchlbk" w:hAnsi="NewCenturySchlbk"/>
          <w:color w:val="000000"/>
        </w:rPr>
        <w:t xml:space="preserve">3)  </w:t>
      </w:r>
      <w:r>
        <w:rPr>
          <w:rFonts w:cs="NewCenturySchlbk" w:ascii="NewCenturySchlbk" w:hAnsi="NewCenturySchlbk"/>
          <w:color w:val="000000"/>
          <w:u w:val="single"/>
        </w:rPr>
        <w:t>DASRs for ESP to ESP Switches</w:t>
      </w:r>
      <w:r>
        <w:rPr>
          <w:rFonts w:cs="NewCenturySchlbk" w:ascii="NewCenturySchlbk" w:hAnsi="NewCenturySchlbk"/>
          <w:color w:val="000000"/>
        </w:rPr>
        <w:t>:  If a direct access customer is currently receiving service from ESP A, SCE will not process connect DASRs for that customer to switch to ESP B after October 20, 2001.  Again, SCE considers any service by ESP B to be a “new arrangement” for direct access service prohibited by the Decision.</w:t>
      </w:r>
    </w:p>
    <w:p>
      <w:pPr>
        <w:pStyle w:val="Normal"/>
        <w:autoSpaceDE w:val="false"/>
        <w:spacing w:lineRule="atLeast" w:line="240"/>
        <w:ind w:start="720" w:end="0"/>
        <w:rPr>
          <w:rFonts w:ascii="NewCenturySchlbk" w:hAnsi="NewCenturySchlbk" w:cs="NewCenturySchlbk"/>
          <w:color w:val="000000"/>
          <w:u w:val="single"/>
        </w:rPr>
      </w:pPr>
      <w:r>
        <w:rPr>
          <w:rFonts w:cs="NewCenturySchlbk" w:ascii="NewCenturySchlbk" w:hAnsi="NewCenturySchlbk"/>
          <w:color w:val="000000"/>
          <w:u w:val="single"/>
        </w:rPr>
      </w:r>
    </w:p>
    <w:p>
      <w:pPr>
        <w:pStyle w:val="Normal"/>
        <w:autoSpaceDE w:val="false"/>
        <w:spacing w:lineRule="atLeast" w:line="240"/>
        <w:ind w:start="720" w:end="0"/>
        <w:rPr>
          <w:rFonts w:ascii="NewCenturySchlbk" w:hAnsi="NewCenturySchlbk" w:cs="NewCenturySchlbk"/>
          <w:b/>
          <w:color w:val="000000"/>
        </w:rPr>
      </w:pPr>
      <w:r>
        <w:rPr>
          <w:rFonts w:cs="NewCenturySchlbk" w:ascii="NewCenturySchlbk" w:hAnsi="NewCenturySchlbk"/>
          <w:color w:val="000000"/>
        </w:rPr>
        <w:t xml:space="preserve">4)  </w:t>
      </w:r>
      <w:r>
        <w:rPr>
          <w:rFonts w:cs="NewCenturySchlbk" w:ascii="NewCenturySchlbk" w:hAnsi="NewCenturySchlbk"/>
          <w:color w:val="000000"/>
          <w:u w:val="single"/>
        </w:rPr>
        <w:t>DASRs for residential and small customers that have not undergone independent verification</w:t>
      </w:r>
      <w:r>
        <w:rPr>
          <w:rFonts w:cs="NewCenturySchlbk" w:ascii="NewCenturySchlbk" w:hAnsi="NewCenturySchlbk"/>
          <w:color w:val="000000"/>
        </w:rPr>
        <w:t>:  SCE will not process connect DASRs for residential and small customers that have not undergone the independent verification required by Section 366 or 366.5 of the Public Utilities Code.  This is because the Decision prohibits the verification of any new arrangements for direct access service after September 20, 2001.</w:t>
      </w:r>
    </w:p>
    <w:p>
      <w:pPr>
        <w:pStyle w:val="Normal"/>
        <w:autoSpaceDE w:val="false"/>
        <w:spacing w:lineRule="atLeast" w:line="240"/>
        <w:ind w:start="720" w:end="0"/>
        <w:rPr>
          <w:rFonts w:ascii="NewCenturySchlbk" w:hAnsi="NewCenturySchlbk" w:cs="NewCenturySchlbk"/>
          <w:b/>
          <w:color w:val="000000"/>
          <w:u w:val="single"/>
        </w:rPr>
      </w:pPr>
      <w:r>
        <w:rPr>
          <w:rFonts w:cs="NewCenturySchlbk" w:ascii="NewCenturySchlbk" w:hAnsi="NewCenturySchlbk"/>
          <w:b/>
          <w:color w:val="000000"/>
          <w:u w:val="single"/>
        </w:rPr>
      </w:r>
    </w:p>
    <w:p>
      <w:pPr>
        <w:pStyle w:val="Normal"/>
        <w:autoSpaceDE w:val="false"/>
        <w:spacing w:lineRule="atLeast" w:line="240"/>
        <w:ind w:start="720" w:end="0"/>
        <w:rPr/>
      </w:pPr>
      <w:r>
        <w:rPr>
          <w:rFonts w:cs="NewCenturySchlbk" w:ascii="NewCenturySchlbk" w:hAnsi="NewCenturySchlbk"/>
          <w:color w:val="000000"/>
        </w:rPr>
        <w:t xml:space="preserve">5)  </w:t>
      </w:r>
      <w:r>
        <w:rPr>
          <w:rFonts w:cs="NewCenturySchlbk" w:ascii="NewCenturySchlbk" w:hAnsi="NewCenturySchlbk"/>
          <w:color w:val="000000"/>
          <w:u w:val="single"/>
        </w:rPr>
        <w:t>DASRs from inactive ESPs</w:t>
      </w:r>
      <w:r>
        <w:rPr>
          <w:rFonts w:cs="NewCenturySchlbk" w:ascii="NewCenturySchlbk" w:hAnsi="NewCenturySchlbk"/>
          <w:color w:val="000000"/>
        </w:rPr>
        <w:t>:  SCE received customer lists from two inactive ESPs which did not have signed ESP Service Agreements as of September 20, 2001.  SCE will not accept DASRs from those ESPs.</w:t>
      </w:r>
    </w:p>
    <w:p>
      <w:pPr>
        <w:pStyle w:val="LetterText"/>
        <w:rPr>
          <w:color w:val="000000"/>
        </w:rPr>
      </w:pPr>
      <w:r>
        <w:rPr>
          <w:color w:val="000000"/>
        </w:rPr>
        <w:t>SCE will continue to place service accounts on direct access service in certain situations.  These include:</w:t>
      </w:r>
    </w:p>
    <w:p>
      <w:pPr>
        <w:pStyle w:val="Normal"/>
        <w:autoSpaceDE w:val="false"/>
        <w:spacing w:lineRule="atLeast" w:line="240"/>
        <w:ind w:start="720" w:end="0"/>
        <w:rPr>
          <w:rFonts w:ascii="NewCenturySchlbk" w:hAnsi="NewCenturySchlbk" w:cs="NewCenturySchlbk"/>
          <w:color w:val="000000"/>
        </w:rPr>
      </w:pPr>
      <w:r>
        <w:rPr>
          <w:rFonts w:cs="NewCenturySchlbk" w:ascii="NewCenturySchlbk" w:hAnsi="NewCenturySchlbk"/>
          <w:color w:val="000000"/>
        </w:rPr>
      </w:r>
    </w:p>
    <w:p>
      <w:pPr>
        <w:pStyle w:val="Normal"/>
        <w:autoSpaceDE w:val="false"/>
        <w:spacing w:lineRule="atLeast" w:line="240"/>
        <w:ind w:start="720" w:end="0"/>
        <w:rPr/>
      </w:pPr>
      <w:r>
        <w:rPr>
          <w:rFonts w:cs="NewCenturySchlbk" w:ascii="NewCenturySchlbk" w:hAnsi="NewCenturySchlbk"/>
          <w:color w:val="000000"/>
        </w:rPr>
        <w:t xml:space="preserve">1)  </w:t>
      </w:r>
      <w:r>
        <w:rPr>
          <w:rFonts w:cs="NewCenturySchlbk" w:ascii="NewCenturySchlbk" w:hAnsi="NewCenturySchlbk"/>
          <w:color w:val="000000"/>
          <w:u w:val="single"/>
        </w:rPr>
        <w:t>Seamless Move Requests</w:t>
      </w:r>
      <w:r>
        <w:rPr>
          <w:rFonts w:cs="NewCenturySchlbk" w:ascii="NewCenturySchlbk" w:hAnsi="NewCenturySchlbk"/>
          <w:color w:val="000000"/>
        </w:rPr>
        <w:t xml:space="preserve">:  Under current direct access procedures, residential and small commercial customers (i.e., load profiled customers with load under 50 kW) may make “seamless move requests” to enable them to move to a new location and remain direct access with the current ESP with no break in direct access service.  For an existing direct access customer, SCE will place the service account at the new location on direct access if the customer and ESP adhere to the existing seamless move procedures.  </w:t>
      </w:r>
    </w:p>
    <w:p>
      <w:pPr>
        <w:pStyle w:val="Normal"/>
        <w:autoSpaceDE w:val="false"/>
        <w:spacing w:lineRule="atLeast" w:line="240"/>
        <w:ind w:start="720" w:end="0"/>
        <w:rPr>
          <w:rFonts w:ascii="NewCenturySchlbk" w:hAnsi="NewCenturySchlbk" w:cs="NewCenturySchlbk"/>
          <w:color w:val="000000"/>
        </w:rPr>
      </w:pPr>
      <w:r>
        <w:rPr>
          <w:rFonts w:cs="NewCenturySchlbk" w:ascii="NewCenturySchlbk" w:hAnsi="NewCenturySchlbk"/>
          <w:color w:val="000000"/>
        </w:rPr>
      </w:r>
    </w:p>
    <w:p>
      <w:pPr>
        <w:pStyle w:val="Normal"/>
        <w:autoSpaceDE w:val="false"/>
        <w:spacing w:lineRule="atLeast" w:line="240"/>
        <w:ind w:start="720" w:end="0"/>
        <w:rPr/>
      </w:pPr>
      <w:r>
        <w:rPr>
          <w:rFonts w:cs="NewCenturySchlbk" w:ascii="NewCenturySchlbk" w:hAnsi="NewCenturySchlbk"/>
          <w:color w:val="000000"/>
        </w:rPr>
        <w:t xml:space="preserve">2)  </w:t>
      </w:r>
      <w:r>
        <w:rPr>
          <w:rFonts w:cs="NewCenturySchlbk" w:ascii="NewCenturySchlbk" w:hAnsi="NewCenturySchlbk"/>
          <w:color w:val="000000"/>
          <w:u w:val="single"/>
        </w:rPr>
        <w:t>Bankruptcy or merger</w:t>
      </w:r>
      <w:r>
        <w:rPr>
          <w:rFonts w:cs="NewCenturySchlbk" w:ascii="NewCenturySchlbk" w:hAnsi="NewCenturySchlbk"/>
          <w:color w:val="000000"/>
        </w:rPr>
        <w:t>:  If the direct access customer files a bankruptcy or undergoes a merger which results in SCE assigning a new service account number to the existing direct access account for operational purposes only, SCE will place the new service account on direct access service if requested by the customer and ESP.</w:t>
      </w:r>
    </w:p>
    <w:p>
      <w:pPr>
        <w:pStyle w:val="Normal"/>
        <w:autoSpaceDE w:val="false"/>
        <w:spacing w:lineRule="atLeast" w:line="240"/>
        <w:ind w:start="720" w:end="0"/>
        <w:rPr>
          <w:rFonts w:ascii="NewCenturySchlbk" w:hAnsi="NewCenturySchlbk" w:cs="NewCenturySchlbk"/>
          <w:color w:val="000000"/>
          <w:u w:val="single"/>
        </w:rPr>
      </w:pPr>
      <w:r>
        <w:rPr>
          <w:rFonts w:cs="NewCenturySchlbk" w:ascii="NewCenturySchlbk" w:hAnsi="NewCenturySchlbk"/>
          <w:color w:val="000000"/>
          <w:u w:val="single"/>
        </w:rPr>
      </w:r>
    </w:p>
    <w:p>
      <w:pPr>
        <w:pStyle w:val="Normal"/>
        <w:autoSpaceDE w:val="false"/>
        <w:spacing w:lineRule="atLeast" w:line="240"/>
        <w:ind w:start="720" w:end="0"/>
        <w:rPr/>
      </w:pPr>
      <w:r>
        <w:rPr>
          <w:rFonts w:cs="NewCenturySchlbk" w:ascii="NewCenturySchlbk" w:hAnsi="NewCenturySchlbk"/>
          <w:color w:val="000000"/>
        </w:rPr>
        <w:t xml:space="preserve">3)  </w:t>
      </w:r>
      <w:r>
        <w:rPr>
          <w:rFonts w:cs="NewCenturySchlbk" w:ascii="NewCenturySchlbk" w:hAnsi="NewCenturySchlbk"/>
          <w:color w:val="000000"/>
          <w:u w:val="single"/>
        </w:rPr>
        <w:t>Change in customer ownership and assignment of direct access service</w:t>
      </w:r>
      <w:r>
        <w:rPr>
          <w:rFonts w:cs="NewCenturySchlbk" w:ascii="NewCenturySchlbk" w:hAnsi="NewCenturySchlbk"/>
          <w:color w:val="000000"/>
        </w:rPr>
        <w:t>:  If a direct access customer enters a purchase and sale transaction with another company that will continue the same business as the original direct access customer, SCE will place the newly owned entity on direct access service if the customer can show:  1) that a purchase and sale occurred between Company A and Company B, 2) that Company A assigned its right to receive direct</w:t>
      </w:r>
      <w:r>
        <w:br w:type="page"/>
      </w:r>
    </w:p>
    <w:p>
      <w:pPr>
        <w:pStyle w:val="Normal"/>
        <w:autoSpaceDE w:val="false"/>
        <w:spacing w:lineRule="atLeast" w:line="240"/>
        <w:ind w:start="720" w:end="0"/>
        <w:rPr/>
      </w:pPr>
      <w:r>
        <w:rPr>
          <w:rFonts w:cs="NewCenturySchlbk" w:ascii="NewCenturySchlbk" w:hAnsi="NewCenturySchlbk"/>
          <w:color w:val="000000"/>
        </w:rPr>
        <w:t>access service to Company B, and 3) that Company B is continuing the same business as Company A.  This exception is to account for the fairly common situation where a company changes ownership only, but the business, employees, management, etc. of the company remains substantially the same (</w:t>
      </w:r>
      <w:r>
        <w:rPr>
          <w:rFonts w:cs="NewCenturySchlbk" w:ascii="NewCenturySchlbk" w:hAnsi="NewCenturySchlbk"/>
          <w:color w:val="000000"/>
          <w:u w:val="single"/>
        </w:rPr>
        <w:t>e.g.</w:t>
      </w:r>
      <w:r>
        <w:rPr>
          <w:rFonts w:cs="NewCenturySchlbk" w:ascii="NewCenturySchlbk" w:hAnsi="NewCenturySchlbk"/>
          <w:color w:val="000000"/>
        </w:rPr>
        <w:t>, ABC Hotels is bought by XYZ Hotels and changes its name and account information).  SCE will not place a new account on direct access service if the original direct access customer attempts to sell/assign its direct access service to an entity which operates an entirely different business (</w:t>
      </w:r>
      <w:r>
        <w:rPr>
          <w:rFonts w:cs="NewCenturySchlbk" w:ascii="NewCenturySchlbk" w:hAnsi="NewCenturySchlbk"/>
          <w:color w:val="000000"/>
          <w:u w:val="single"/>
        </w:rPr>
        <w:t>e.g.</w:t>
      </w:r>
      <w:r>
        <w:rPr>
          <w:rFonts w:cs="NewCenturySchlbk" w:ascii="NewCenturySchlbk" w:hAnsi="NewCenturySchlbk"/>
          <w:color w:val="000000"/>
        </w:rPr>
        <w:t>, ABC Hotels attempts to transfer its direct access account to 123 Tire Co.).</w:t>
      </w:r>
    </w:p>
    <w:p>
      <w:pPr>
        <w:pStyle w:val="LetterText"/>
        <w:rPr/>
      </w:pPr>
      <w:r>
        <w:rPr/>
        <w:t xml:space="preserve">SCE will not enter into any new ESP Service Agreements after September 20, 2001.  SCE also will not proceed with operational compliance testing with potential ESPs while the suspension of direct access is in effect.  SCE will date stamp any documentation received, but will not process such documentation.  </w:t>
      </w:r>
    </w:p>
    <w:p>
      <w:pPr>
        <w:pStyle w:val="LetterText"/>
        <w:rPr/>
      </w:pPr>
      <w:r>
        <w:rPr/>
        <w:t>If ESPs submit connect DASRs for all eligible accounts on the lists received from ESPs and SCE processes those DASRs according to the implementation procedures described above, SCE estimates that a total of at least 70,000 direct access customer accounts in SCE’s service territory, representing approximately 13-16% of SCE’s total annual cumulative load, could be receiving direct access service by October/November 2001.  Since July 1, 2001, nearly 9,000 accounts representing approximately 10% of SCE’s load have switched or are in the process of switching to direct access.  The estimated numbers showing the increase in direct access customer since July 1, 2001 is summarized in the table below:</w:t>
      </w:r>
    </w:p>
    <w:p>
      <w:pPr>
        <w:pStyle w:val="Normal"/>
        <w:rPr>
          <w:rFonts w:ascii="NewCenturySchlbk" w:hAnsi="NewCenturySchlbk" w:cs="NewCenturySchlbk"/>
        </w:rPr>
      </w:pPr>
      <w:r>
        <w:rPr>
          <w:rFonts w:cs="NewCenturySchlbk" w:ascii="NewCenturySchlbk" w:hAnsi="NewCenturySchlbk"/>
        </w:rPr>
      </w:r>
    </w:p>
    <w:tbl>
      <w:tblPr>
        <w:tblW w:w="8856" w:type="dxa"/>
        <w:jc w:val="start"/>
        <w:tblInd w:w="0" w:type="dxa"/>
        <w:tblLayout w:type="fixed"/>
        <w:tblCellMar>
          <w:top w:w="0" w:type="dxa"/>
          <w:start w:w="108" w:type="dxa"/>
          <w:bottom w:w="0" w:type="dxa"/>
          <w:end w:w="108" w:type="dxa"/>
        </w:tblCellMar>
      </w:tblPr>
      <w:tblGrid>
        <w:gridCol w:w="1728"/>
        <w:gridCol w:w="4176"/>
        <w:gridCol w:w="2952"/>
      </w:tblGrid>
      <w:tr>
        <w:trPr/>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rFonts w:ascii="NewCenturySchlbk" w:hAnsi="NewCenturySchlbk" w:cs="NewCenturySchlbk"/>
              </w:rPr>
            </w:pPr>
            <w:r>
              <w:rPr>
                <w:rFonts w:cs="NewCenturySchlbk" w:ascii="NewCenturySchlbk" w:hAnsi="NewCenturySchlbk"/>
              </w:rPr>
              <w:t>Date</w:t>
            </w:r>
          </w:p>
        </w:tc>
        <w:tc>
          <w:tcPr>
            <w:tcW w:w="4176" w:type="dxa"/>
            <w:tcBorders>
              <w:top w:val="single" w:sz="4" w:space="0" w:color="000000"/>
              <w:start w:val="single" w:sz="4" w:space="0" w:color="000000"/>
              <w:bottom w:val="single" w:sz="4" w:space="0" w:color="000000"/>
              <w:end w:val="single" w:sz="4" w:space="0" w:color="000000"/>
            </w:tcBorders>
          </w:tcPr>
          <w:p>
            <w:pPr>
              <w:pStyle w:val="Normal"/>
              <w:jc w:val="center"/>
              <w:rPr>
                <w:rFonts w:ascii="NewCenturySchlbk" w:hAnsi="NewCenturySchlbk" w:cs="NewCenturySchlbk"/>
              </w:rPr>
            </w:pPr>
            <w:r>
              <w:rPr>
                <w:rFonts w:cs="NewCenturySchlbk" w:ascii="NewCenturySchlbk" w:hAnsi="NewCenturySchlbk"/>
              </w:rPr>
              <w:t>Number of Direct Access customers</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NewCenturySchlbk" w:hAnsi="NewCenturySchlbk" w:cs="NewCenturySchlbk"/>
              </w:rPr>
            </w:pPr>
            <w:r>
              <w:rPr>
                <w:rFonts w:cs="NewCenturySchlbk" w:ascii="NewCenturySchlbk" w:hAnsi="NewCenturySchlbk"/>
              </w:rPr>
              <w:t>% of SCE’s Cumulative Load</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rFonts w:ascii="NewCenturySchlbk" w:hAnsi="NewCenturySchlbk" w:cs="NewCenturySchlbk"/>
              </w:rPr>
            </w:pPr>
            <w:r>
              <w:rPr>
                <w:rFonts w:cs="NewCenturySchlbk" w:ascii="NewCenturySchlbk" w:hAnsi="NewCenturySchlbk"/>
              </w:rPr>
              <w:t>7/1/01</w:t>
            </w:r>
          </w:p>
        </w:tc>
        <w:tc>
          <w:tcPr>
            <w:tcW w:w="4176" w:type="dxa"/>
            <w:tcBorders>
              <w:top w:val="single" w:sz="4" w:space="0" w:color="000000"/>
              <w:start w:val="single" w:sz="4" w:space="0" w:color="000000"/>
              <w:bottom w:val="single" w:sz="4" w:space="0" w:color="000000"/>
              <w:end w:val="single" w:sz="4" w:space="0" w:color="000000"/>
            </w:tcBorders>
          </w:tcPr>
          <w:p>
            <w:pPr>
              <w:pStyle w:val="Normal"/>
              <w:jc w:val="center"/>
              <w:rPr>
                <w:rFonts w:ascii="NewCenturySchlbk" w:hAnsi="NewCenturySchlbk" w:cs="NewCenturySchlbk"/>
              </w:rPr>
            </w:pPr>
            <w:r>
              <w:rPr>
                <w:rFonts w:cs="NewCenturySchlbk" w:ascii="NewCenturySchlbk" w:hAnsi="NewCenturySchlbk"/>
              </w:rPr>
              <w:t>36,411</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NewCenturySchlbk" w:hAnsi="NewCenturySchlbk" w:cs="NewCenturySchlbk"/>
              </w:rPr>
            </w:pPr>
            <w:r>
              <w:rPr>
                <w:rFonts w:cs="NewCenturySchlbk" w:ascii="NewCenturySchlbk" w:hAnsi="NewCenturySchlbk"/>
              </w:rPr>
              <w:t>3.1%</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rFonts w:ascii="NewCenturySchlbk" w:hAnsi="NewCenturySchlbk" w:cs="NewCenturySchlbk"/>
              </w:rPr>
            </w:pPr>
            <w:r>
              <w:rPr>
                <w:rFonts w:cs="NewCenturySchlbk" w:ascii="NewCenturySchlbk" w:hAnsi="NewCenturySchlbk"/>
              </w:rPr>
              <w:t>9/21/01</w:t>
            </w:r>
          </w:p>
        </w:tc>
        <w:tc>
          <w:tcPr>
            <w:tcW w:w="4176" w:type="dxa"/>
            <w:tcBorders>
              <w:top w:val="single" w:sz="4" w:space="0" w:color="000000"/>
              <w:start w:val="single" w:sz="4" w:space="0" w:color="000000"/>
              <w:bottom w:val="single" w:sz="4" w:space="0" w:color="000000"/>
              <w:end w:val="single" w:sz="4" w:space="0" w:color="000000"/>
            </w:tcBorders>
          </w:tcPr>
          <w:p>
            <w:pPr>
              <w:pStyle w:val="Normal"/>
              <w:jc w:val="center"/>
              <w:rPr>
                <w:rFonts w:ascii="NewCenturySchlbk" w:hAnsi="NewCenturySchlbk" w:cs="NewCenturySchlbk"/>
              </w:rPr>
            </w:pPr>
            <w:r>
              <w:rPr>
                <w:rFonts w:cs="NewCenturySchlbk" w:ascii="NewCenturySchlbk" w:hAnsi="NewCenturySchlbk"/>
              </w:rPr>
              <w:t>39,789</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NewCenturySchlbk" w:hAnsi="NewCenturySchlbk" w:cs="NewCenturySchlbk"/>
              </w:rPr>
            </w:pPr>
            <w:r>
              <w:rPr>
                <w:rFonts w:cs="NewCenturySchlbk" w:ascii="NewCenturySchlbk" w:hAnsi="NewCenturySchlbk"/>
              </w:rPr>
              <w:t>6.5%</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rFonts w:ascii="NewCenturySchlbk" w:hAnsi="NewCenturySchlbk" w:cs="NewCenturySchlbk"/>
              </w:rPr>
            </w:pPr>
            <w:r>
              <w:rPr>
                <w:rFonts w:cs="NewCenturySchlbk" w:ascii="NewCenturySchlbk" w:hAnsi="NewCenturySchlbk"/>
              </w:rPr>
              <w:t>9/28/01</w:t>
            </w:r>
          </w:p>
        </w:tc>
        <w:tc>
          <w:tcPr>
            <w:tcW w:w="4176" w:type="dxa"/>
            <w:tcBorders>
              <w:top w:val="single" w:sz="4" w:space="0" w:color="000000"/>
              <w:start w:val="single" w:sz="4" w:space="0" w:color="000000"/>
              <w:bottom w:val="single" w:sz="4" w:space="0" w:color="000000"/>
              <w:end w:val="single" w:sz="4" w:space="0" w:color="000000"/>
            </w:tcBorders>
          </w:tcPr>
          <w:p>
            <w:pPr>
              <w:pStyle w:val="Normal"/>
              <w:jc w:val="center"/>
              <w:rPr>
                <w:rFonts w:ascii="NewCenturySchlbk" w:hAnsi="NewCenturySchlbk" w:cs="NewCenturySchlbk"/>
              </w:rPr>
            </w:pPr>
            <w:r>
              <w:rPr>
                <w:rFonts w:cs="NewCenturySchlbk" w:ascii="NewCenturySchlbk" w:hAnsi="NewCenturySchlbk"/>
              </w:rPr>
              <w:t>40,569</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NewCenturySchlbk" w:hAnsi="NewCenturySchlbk" w:cs="NewCenturySchlbk"/>
              </w:rPr>
            </w:pPr>
            <w:r>
              <w:rPr>
                <w:rFonts w:cs="NewCenturySchlbk" w:ascii="NewCenturySchlbk" w:hAnsi="NewCenturySchlbk"/>
              </w:rPr>
              <w:t>7.6%</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rFonts w:ascii="NewCenturySchlbk" w:hAnsi="NewCenturySchlbk" w:cs="NewCenturySchlbk"/>
              </w:rPr>
            </w:pPr>
            <w:r>
              <w:rPr>
                <w:rFonts w:cs="NewCenturySchlbk" w:ascii="NewCenturySchlbk" w:hAnsi="NewCenturySchlbk"/>
              </w:rPr>
              <w:t>After 9/28/01*</w:t>
            </w:r>
          </w:p>
        </w:tc>
        <w:tc>
          <w:tcPr>
            <w:tcW w:w="4176" w:type="dxa"/>
            <w:tcBorders>
              <w:top w:val="single" w:sz="4" w:space="0" w:color="000000"/>
              <w:start w:val="single" w:sz="4" w:space="0" w:color="000000"/>
              <w:bottom w:val="single" w:sz="4" w:space="0" w:color="000000"/>
              <w:end w:val="single" w:sz="4" w:space="0" w:color="000000"/>
            </w:tcBorders>
          </w:tcPr>
          <w:p>
            <w:pPr>
              <w:pStyle w:val="Normal"/>
              <w:jc w:val="center"/>
              <w:rPr>
                <w:rFonts w:ascii="NewCenturySchlbk" w:hAnsi="NewCenturySchlbk" w:cs="NewCenturySchlbk"/>
              </w:rPr>
            </w:pPr>
            <w:r>
              <w:rPr>
                <w:rFonts w:cs="NewCenturySchlbk" w:ascii="NewCenturySchlbk" w:hAnsi="NewCenturySchlbk"/>
              </w:rPr>
              <w:t>60,000</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NewCenturySchlbk" w:hAnsi="NewCenturySchlbk" w:cs="NewCenturySchlbk"/>
              </w:rPr>
            </w:pPr>
            <w:r>
              <w:rPr>
                <w:rFonts w:cs="NewCenturySchlbk" w:ascii="NewCenturySchlbk" w:hAnsi="NewCenturySchlbk"/>
              </w:rPr>
              <w:t>13-16%</w:t>
            </w:r>
          </w:p>
        </w:tc>
      </w:tr>
    </w:tbl>
    <w:p>
      <w:pPr>
        <w:pStyle w:val="LetterText"/>
        <w:rPr/>
      </w:pPr>
      <w:r>
        <w:rPr/>
        <w:t>*</w:t>
      </w:r>
      <w:r>
        <w:rPr>
          <w:color w:val="000000"/>
          <w:sz w:val="20"/>
        </w:rPr>
        <w:t>The data for after 9/28/01 is estimated based on pending DASRs, and customer service account information provided by ESPs as of 10/3/01.  These figures are based on estimates which in some cases rely on ESPs submission of customer information lacking “service account” level detail.  These figures also do not account for any additional customer service account information that may be identified on the supplemental lists that may be submitted by ESPs on October 5, 2001.</w:t>
      </w:r>
      <w:r>
        <w:br w:type="page"/>
      </w:r>
    </w:p>
    <w:p>
      <w:pPr>
        <w:pStyle w:val="LetterText"/>
        <w:rPr/>
      </w:pPr>
      <w:r>
        <w:rPr/>
        <w:t>Ordering Paragraph No. 6 required that SCE “modify any information disseminated to customers that describes direct access service, subject to review by the Public Advisor’s office and Energy Division, to explain that the right to acquire direct access service has been suspended.”  SCE is making the following modifications to its communications:</w:t>
      </w:r>
    </w:p>
    <w:p>
      <w:pPr>
        <w:pStyle w:val="Normal"/>
        <w:rPr>
          <w:rFonts w:ascii="NewCenturySchlbk" w:hAnsi="NewCenturySchlbk" w:cs="NewCenturySchlbk"/>
        </w:rPr>
      </w:pPr>
      <w:r>
        <w:rPr>
          <w:rFonts w:cs="NewCenturySchlbk" w:ascii="NewCenturySchlbk" w:hAnsi="NewCenturySchlbk"/>
        </w:rPr>
      </w:r>
    </w:p>
    <w:p>
      <w:pPr>
        <w:pStyle w:val="Normal"/>
        <w:numPr>
          <w:ilvl w:val="0"/>
          <w:numId w:val="2"/>
        </w:numPr>
        <w:rPr>
          <w:rFonts w:ascii="NewCenturySchlbk" w:hAnsi="NewCenturySchlbk" w:cs="NewCenturySchlbk"/>
        </w:rPr>
      </w:pPr>
      <w:r>
        <w:rPr>
          <w:rFonts w:cs="NewCenturySchlbk" w:ascii="NewCenturySchlbk" w:hAnsi="NewCenturySchlbk"/>
        </w:rPr>
        <w:t>SCE is modifying the footnote on SCE’s bill format describing direct access, which already has been approved by the Public Advisor’s office and the Energy Division;</w:t>
      </w:r>
    </w:p>
    <w:p>
      <w:pPr>
        <w:pStyle w:val="Normal"/>
        <w:ind w:start="360" w:end="0"/>
        <w:rPr>
          <w:rFonts w:ascii="NewCenturySchlbk" w:hAnsi="NewCenturySchlbk" w:cs="NewCenturySchlbk"/>
        </w:rPr>
      </w:pPr>
      <w:r>
        <w:rPr>
          <w:rFonts w:cs="NewCenturySchlbk" w:ascii="NewCenturySchlbk" w:hAnsi="NewCenturySchlbk"/>
        </w:rPr>
      </w:r>
    </w:p>
    <w:p>
      <w:pPr>
        <w:pStyle w:val="Normal"/>
        <w:numPr>
          <w:ilvl w:val="0"/>
          <w:numId w:val="2"/>
        </w:numPr>
        <w:rPr>
          <w:rFonts w:ascii="NewCenturySchlbk" w:hAnsi="NewCenturySchlbk" w:cs="NewCenturySchlbk"/>
        </w:rPr>
      </w:pPr>
      <w:r>
        <w:rPr>
          <w:rFonts w:cs="NewCenturySchlbk" w:ascii="NewCenturySchlbk" w:hAnsi="NewCenturySchlbk"/>
        </w:rPr>
        <w:t xml:space="preserve">SCE is modifying its Tariff Rule 22, which will be submitted by an advice letter to be filed by October 4;  </w:t>
      </w:r>
    </w:p>
    <w:p>
      <w:pPr>
        <w:pStyle w:val="Normal"/>
        <w:ind w:start="360" w:end="0"/>
        <w:rPr>
          <w:rFonts w:ascii="NewCenturySchlbk" w:hAnsi="NewCenturySchlbk" w:cs="NewCenturySchlbk"/>
        </w:rPr>
      </w:pPr>
      <w:r>
        <w:rPr>
          <w:rFonts w:cs="NewCenturySchlbk" w:ascii="NewCenturySchlbk" w:hAnsi="NewCenturySchlbk"/>
        </w:rPr>
      </w:r>
    </w:p>
    <w:p>
      <w:pPr>
        <w:pStyle w:val="Normal"/>
        <w:numPr>
          <w:ilvl w:val="0"/>
          <w:numId w:val="2"/>
        </w:numPr>
        <w:rPr>
          <w:rFonts w:ascii="NewCenturySchlbk" w:hAnsi="NewCenturySchlbk" w:cs="NewCenturySchlbk"/>
        </w:rPr>
      </w:pPr>
      <w:r>
        <w:rPr>
          <w:rFonts w:cs="NewCenturySchlbk" w:ascii="NewCenturySchlbk" w:hAnsi="NewCenturySchlbk"/>
        </w:rPr>
        <w:t>SCE is modifying the information regarding direct access on SCE’s website; and</w:t>
      </w:r>
    </w:p>
    <w:p>
      <w:pPr>
        <w:pStyle w:val="Normal"/>
        <w:ind w:start="360" w:end="0"/>
        <w:rPr>
          <w:rFonts w:ascii="NewCenturySchlbk" w:hAnsi="NewCenturySchlbk" w:cs="NewCenturySchlbk"/>
        </w:rPr>
      </w:pPr>
      <w:r>
        <w:rPr>
          <w:rFonts w:cs="NewCenturySchlbk" w:ascii="NewCenturySchlbk" w:hAnsi="NewCenturySchlbk"/>
        </w:rPr>
      </w:r>
    </w:p>
    <w:p>
      <w:pPr>
        <w:pStyle w:val="Normal"/>
        <w:numPr>
          <w:ilvl w:val="0"/>
          <w:numId w:val="2"/>
        </w:numPr>
        <w:rPr>
          <w:rFonts w:ascii="NewCenturySchlbk" w:hAnsi="NewCenturySchlbk" w:cs="NewCenturySchlbk"/>
        </w:rPr>
      </w:pPr>
      <w:r>
        <w:rPr>
          <w:rFonts w:cs="NewCenturySchlbk" w:ascii="NewCenturySchlbk" w:hAnsi="NewCenturySchlbk"/>
        </w:rPr>
        <w:t>SCE has eliminated the pre-recorded message on its Voice Response Unit informing customers of the availability of direct access service when they call SCE for new service.</w:t>
      </w:r>
    </w:p>
    <w:p>
      <w:pPr>
        <w:pStyle w:val="LetterText"/>
        <w:rPr/>
      </w:pPr>
      <w:r>
        <w:rPr/>
        <w:t>In addition, in compliance with Ordering Paragraph No. 5, SCE will include the following bill message on all customer bills beginning October 18, 2001:</w:t>
      </w:r>
    </w:p>
    <w:p>
      <w:pPr>
        <w:pStyle w:val="Heading2"/>
        <w:rPr>
          <w:rFonts w:ascii="NewCenturySchlbk" w:hAnsi="NewCenturySchlbk" w:cs="NewCenturySchlbk"/>
        </w:rPr>
      </w:pPr>
      <w:r>
        <w:rPr>
          <w:rFonts w:cs="NewCenturySchlbk" w:ascii="NewCenturySchlbk" w:hAnsi="NewCenturySchlbk"/>
        </w:rPr>
        <w:br/>
        <w:t>Direct Access Suspended</w:t>
      </w:r>
    </w:p>
    <w:p>
      <w:pPr>
        <w:pStyle w:val="Normal"/>
        <w:ind w:start="720" w:end="0"/>
        <w:rPr>
          <w:rFonts w:ascii="NewCenturySchlbk" w:hAnsi="NewCenturySchlbk" w:cs="NewCenturySchlbk"/>
          <w:b/>
        </w:rPr>
      </w:pPr>
      <w:r>
        <w:rPr>
          <w:rFonts w:cs="NewCenturySchlbk" w:ascii="NewCenturySchlbk" w:hAnsi="NewCenturySchlbk"/>
        </w:rPr>
        <w:t>The right to acquire direct access service from other electric service providers was suspended by the CPUC as of 9/20/01.</w:t>
      </w:r>
    </w:p>
    <w:p>
      <w:pPr>
        <w:pStyle w:val="LetterText"/>
        <w:rPr/>
      </w:pPr>
      <w:r>
        <w:rPr/>
        <w:t xml:space="preserve">Please contact me at (626) 302-3630 if you need any additional information or clarification regarding the above.  </w:t>
      </w:r>
    </w:p>
    <w:p>
      <w:pPr>
        <w:pStyle w:val="Closing"/>
        <w:rPr/>
      </w:pPr>
      <w:bookmarkStart w:id="5" w:name="Closing"/>
      <w:bookmarkEnd w:id="5"/>
      <w:r>
        <w:rPr/>
        <w:t>Sincerely,</w:t>
      </w:r>
    </w:p>
    <w:p>
      <w:pPr>
        <w:pStyle w:val="Closing"/>
        <w:rPr/>
      </w:pPr>
      <w:bookmarkStart w:id="6" w:name="AuthorName"/>
      <w:bookmarkEnd w:id="6"/>
      <w:r>
        <w:rPr/>
        <w:t>/s/ Bruce Foster</w:t>
      </w:r>
    </w:p>
    <w:p>
      <w:pPr>
        <w:pStyle w:val="zEnclosures"/>
        <w:rPr/>
      </w:pPr>
      <w:r>
        <w:rPr/>
      </w:r>
      <w:bookmarkStart w:id="7" w:name="AuthorInitials"/>
      <w:bookmarkStart w:id="8" w:name="AuthorInitials"/>
      <w:bookmarkEnd w:id="8"/>
    </w:p>
    <w:p>
      <w:pPr>
        <w:pStyle w:val="Normal"/>
        <w:rPr/>
      </w:pPr>
      <w:r>
        <w:rPr/>
      </w:r>
    </w:p>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864"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NewCenturySchlbk">
    <w:charset w:val="00" w:characterSet="windows-1252"/>
    <w:family w:val="roman"/>
    <w:pitch w:val="variable"/>
  </w:font>
  <w:font w:name="Century Schoolbook">
    <w:altName w:val="NewCenturySchlbk"/>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2880" w:leader="none"/>
        <w:tab w:val="center" w:pos="4320" w:leader="none"/>
        <w:tab w:val="right" w:pos="8640" w:leader="none"/>
      </w:tabs>
      <w:rPr>
        <w:sz w:val="16"/>
      </w:rPr>
    </w:pPr>
    <w:r>
      <w:rPr>
        <w:sz w:val="16"/>
      </w:rPr>
      <w:t>601 Van Ness Ave., Suite 2040</w:t>
    </w:r>
  </w:p>
  <w:p>
    <w:pPr>
      <w:pStyle w:val="Footer"/>
      <w:tabs>
        <w:tab w:val="left" w:pos="2880" w:leader="none"/>
        <w:tab w:val="center" w:pos="4320" w:leader="none"/>
        <w:tab w:val="right" w:pos="8640" w:leader="none"/>
      </w:tabs>
      <w:rPr>
        <w:sz w:val="16"/>
      </w:rPr>
    </w:pPr>
    <w:r>
      <w:rPr>
        <w:sz w:val="16"/>
      </w:rPr>
      <w:t>San Francisco, CA  94102</w:t>
    </w:r>
  </w:p>
  <w:p>
    <w:pPr>
      <w:pStyle w:val="Footer"/>
      <w:tabs>
        <w:tab w:val="left" w:pos="2880" w:leader="none"/>
        <w:tab w:val="center" w:pos="4320" w:leader="none"/>
        <w:tab w:val="right" w:pos="8640" w:leader="none"/>
      </w:tabs>
      <w:rPr>
        <w:sz w:val="16"/>
      </w:rPr>
    </w:pPr>
    <w:bookmarkStart w:id="12" w:name="zFooterAuthorPhoneNumber"/>
    <w:bookmarkEnd w:id="12"/>
    <w:r>
      <w:rPr>
        <w:sz w:val="16"/>
      </w:rPr>
      <w:t>(415) 775-2890</w:t>
    </w:r>
  </w:p>
  <w:p>
    <w:pPr>
      <w:pStyle w:val="Footer"/>
      <w:tabs>
        <w:tab w:val="left" w:pos="2880" w:leader="none"/>
        <w:tab w:val="center" w:pos="4320" w:leader="none"/>
        <w:tab w:val="right" w:pos="8640" w:leader="none"/>
      </w:tabs>
      <w:rPr>
        <w:sz w:val="16"/>
      </w:rPr>
    </w:pPr>
    <w:r>
      <w:rPr>
        <w:sz w:val="16"/>
      </w:rPr>
      <w:t>Fax  (415) 673-1116</w:t>
    </w:r>
  </w:p>
  <w:p>
    <w:pPr>
      <w:pStyle w:val="Footer"/>
      <w:rPr>
        <w:sz w:val="16"/>
      </w:rPr>
    </w:pPr>
    <w:r>
      <w:rPr>
        <w:sz w:val="16"/>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Ordering Paragraph No. 8 required SCE to send this letter to the Energy Division within 14 days of the date of the Decision.</w:t>
      </w:r>
    </w:p>
  </w:footnote>
  <w:footnote w:id="3">
    <w:p>
      <w:pPr>
        <w:pStyle w:val="FootnoteText"/>
        <w:rPr/>
      </w:pPr>
      <w:r>
        <w:rPr>
          <w:rStyle w:val="FootnoteCharacters"/>
        </w:rPr>
        <w:footnoteRef/>
      </w:r>
      <w:r>
        <w:rPr/>
        <w:t xml:space="preserve">  </w:t>
      </w:r>
      <w:r>
        <w:rPr/>
        <w:t>D.01-09-060, Ordering Paragraphs 4 &amp; 7.</w:t>
      </w:r>
    </w:p>
  </w:footnote>
  <w:footnote w:id="4">
    <w:p>
      <w:pPr>
        <w:pStyle w:val="FootnoteText"/>
        <w:rPr/>
      </w:pPr>
      <w:r>
        <w:rPr>
          <w:rStyle w:val="FootnoteCharacters"/>
        </w:rPr>
        <w:footnoteRef/>
      </w:r>
      <w:r>
        <w:rPr/>
        <w:t xml:space="preserve"> </w:t>
      </w:r>
      <w:r>
        <w:rPr/>
        <w:t xml:space="preserve">D.01-09-010, p.9 (“Steps that the utilities might take to ensure compliance with the order may include obtaining from each energy service provider a list of relevant identifying information for those customers that have entered into timely contracts, but for whom DASRs have not been submitted.”)  A Commission or third party inspection of the service accounts included in the ESPs’ lists may be appropriate.  </w:t>
      </w:r>
    </w:p>
  </w:footnote>
  <w:footnote w:id="5">
    <w:p>
      <w:pPr>
        <w:pStyle w:val="FootnoteText"/>
        <w:rPr/>
      </w:pPr>
      <w:r>
        <w:rPr>
          <w:rStyle w:val="FootnoteCharacters"/>
        </w:rPr>
        <w:footnoteRef/>
      </w:r>
      <w:r>
        <w:rPr/>
        <w:t xml:space="preserve">  </w:t>
      </w:r>
      <w:r>
        <w:rPr/>
        <w:t>D.01-09-060, p.8.</w:t>
      </w:r>
    </w:p>
  </w:footnote>
  <w:footnote w:id="6">
    <w:p>
      <w:pPr>
        <w:pStyle w:val="FootnoteText"/>
        <w:rPr/>
      </w:pPr>
      <w:r>
        <w:rPr>
          <w:rStyle w:val="FootnoteCharacters"/>
        </w:rPr>
        <w:footnoteRef/>
      </w:r>
      <w:r>
        <w:rPr/>
        <w:t xml:space="preserve">  </w:t>
      </w:r>
      <w:r>
        <w:rPr/>
        <w:t>At the Rule 22 Working Group meeting, several ESPs requested that no deadline be imposed for submission of DASRs.  SCE intends to adhere to the October 20, 2001, deadline unless otherwise directed by the Commission.</w:t>
      </w:r>
    </w:p>
  </w:footnote>
  <w:footnote w:id="7">
    <w:p>
      <w:pPr>
        <w:pStyle w:val="FootnoteText"/>
        <w:rPr/>
      </w:pPr>
      <w:r>
        <w:rPr>
          <w:rStyle w:val="FootnoteCharacters"/>
        </w:rPr>
        <w:footnoteRef/>
      </w:r>
      <w:r>
        <w:rPr/>
        <w:t xml:space="preserve"> </w:t>
      </w:r>
      <w:r>
        <w:rPr/>
        <w:t>A “connect” DASR is a direct access service request that is used to initiate direct access service between the customer and the ESP.  Connect DASRs must be distinguished from “update” DASRs and “disconnect” DASRs, which are used to update billing or metering options on the customers account, and to disconnect the customer from direct access service, respectively.  SCE will continue to process update and disconnect DASRs for existing direct access customers.  Connect DASRs will result in switching a servicing account to direct access by the next scheduled meter read date (or the following meter read date if the next meter read date falls within 5 business days of the DASR) or upon meter installation, where required.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8"/>
      </w:rPr>
    </w:pPr>
    <w:r>
      <w:rPr>
        <w:sz w:val="18"/>
      </w:rPr>
    </w:r>
  </w:p>
  <w:p>
    <w:pPr>
      <w:pStyle w:val="Header"/>
      <w:rPr>
        <w:sz w:val="18"/>
      </w:rPr>
    </w:pPr>
    <w:r>
      <w:rPr>
        <w:sz w:val="18"/>
      </w:rPr>
    </w:r>
  </w:p>
  <w:p>
    <w:pPr>
      <w:pStyle w:val="Header"/>
      <w:rPr>
        <w:sz w:val="18"/>
      </w:rPr>
    </w:pPr>
    <w:r>
      <w:rPr>
        <w:sz w:val="18"/>
      </w:rPr>
      <w:t>Mr. Paul Clanon</w:t>
    </w:r>
  </w:p>
  <w:p>
    <w:pPr>
      <w:pStyle w:val="Header"/>
      <w:rPr>
        <w:sz w:val="18"/>
      </w:rPr>
    </w:pPr>
    <w:r>
      <w:rPr>
        <w:sz w:val="18"/>
      </w:rPr>
      <w:t>October 4, 2001</w:t>
    </w:r>
  </w:p>
  <w:p>
    <w:pPr>
      <w:pStyle w:val="Header"/>
      <w:rPr>
        <w:rStyle w:val="PageNumber"/>
        <w:sz w:val="18"/>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p>
    <w:pPr>
      <w:pStyle w:val="Header"/>
      <w:rPr>
        <w:rStyle w:val="PageNumber"/>
        <w:sz w:val="18"/>
      </w:rPr>
    </w:pPr>
    <w:r>
      <w:rPr/>
    </w:r>
  </w:p>
  <w:p>
    <w:pPr>
      <w:pStyle w:val="Header"/>
      <w:rPr>
        <w:rStyle w:val="PageNumber"/>
        <w:sz w:val="18"/>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025" w:type="dxa"/>
      <w:jc w:val="center"/>
      <w:tblInd w:w="0" w:type="dxa"/>
      <w:tblLayout w:type="fixed"/>
      <w:tblCellMar>
        <w:top w:w="0" w:type="dxa"/>
        <w:start w:w="108" w:type="dxa"/>
        <w:bottom w:w="0" w:type="dxa"/>
        <w:end w:w="108" w:type="dxa"/>
      </w:tblCellMar>
    </w:tblPr>
    <w:tblGrid>
      <w:gridCol w:w="3600"/>
      <w:gridCol w:w="4050"/>
      <w:gridCol w:w="3375"/>
    </w:tblGrid>
    <w:tr>
      <w:trPr>
        <w:trHeight w:val="815" w:hRule="atLeast"/>
      </w:trPr>
      <w:tc>
        <w:tcPr>
          <w:tcW w:w="3600" w:type="dxa"/>
          <w:tcBorders/>
        </w:tcPr>
        <w:p>
          <w:pPr>
            <w:pStyle w:val="Normal"/>
            <w:spacing w:before="120" w:after="0"/>
            <w:ind w:start="-720" w:end="0"/>
            <w:jc w:val="center"/>
            <w:rPr/>
          </w:pPr>
          <w:bookmarkStart w:id="9" w:name="zHeaderLogo"/>
          <w:bookmarkEnd w:id="9"/>
          <w:r>
            <w:rPr/>
            <w:drawing>
              <wp:inline distT="0" distB="0" distL="0" distR="0">
                <wp:extent cx="1595755" cy="6096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9" t="-24" r="-9" b="-24"/>
                        <a:stretch>
                          <a:fillRect/>
                        </a:stretch>
                      </pic:blipFill>
                      <pic:spPr bwMode="auto">
                        <a:xfrm>
                          <a:off x="0" y="0"/>
                          <a:ext cx="1595755" cy="609600"/>
                        </a:xfrm>
                        <a:prstGeom prst="rect">
                          <a:avLst/>
                        </a:prstGeom>
                        <a:noFill/>
                      </pic:spPr>
                    </pic:pic>
                  </a:graphicData>
                </a:graphic>
              </wp:inline>
            </w:drawing>
          </w:r>
        </w:p>
      </w:tc>
      <w:tc>
        <w:tcPr>
          <w:tcW w:w="4050" w:type="dxa"/>
          <w:tcBorders/>
        </w:tcPr>
        <w:p>
          <w:pPr>
            <w:pStyle w:val="Normal"/>
            <w:snapToGrid w:val="false"/>
            <w:spacing w:before="60" w:after="0"/>
            <w:ind w:end="29"/>
            <w:jc w:val="center"/>
            <w:rPr>
              <w:smallCaps/>
              <w:color w:val="808080"/>
              <w:spacing w:val="10"/>
              <w:sz w:val="16"/>
            </w:rPr>
          </w:pPr>
          <w:r>
            <w:rPr>
              <w:smallCaps/>
              <w:color w:val="808080"/>
              <w:spacing w:val="10"/>
              <w:sz w:val="16"/>
            </w:rPr>
          </w:r>
        </w:p>
      </w:tc>
      <w:tc>
        <w:tcPr>
          <w:tcW w:w="3375" w:type="dxa"/>
          <w:tcBorders/>
        </w:tcPr>
        <w:p>
          <w:pPr>
            <w:pStyle w:val="zHeaderAuthorName"/>
            <w:spacing w:before="360" w:after="29"/>
            <w:ind w:start="567" w:end="0"/>
            <w:rPr>
              <w:rFonts w:ascii="Century Schoolbook;NewCenturySchlbk" w:hAnsi="Century Schoolbook;NewCenturySchlbk" w:cs="Century Schoolbook;NewCenturySchlbk"/>
              <w:sz w:val="16"/>
            </w:rPr>
          </w:pPr>
          <w:bookmarkStart w:id="10" w:name="zHeaderAuthorTitle"/>
          <w:bookmarkStart w:id="11" w:name="zHeaderAuthorName"/>
          <w:bookmarkEnd w:id="10"/>
          <w:bookmarkEnd w:id="11"/>
          <w:r>
            <w:rPr>
              <w:rFonts w:cs="Century Schoolbook;NewCenturySchlbk" w:ascii="Century Schoolbook;NewCenturySchlbk" w:hAnsi="Century Schoolbook;NewCenturySchlbk"/>
              <w:sz w:val="16"/>
            </w:rPr>
            <w:t>Bruce C. Foster</w:t>
          </w:r>
        </w:p>
        <w:p>
          <w:pPr>
            <w:pStyle w:val="zHeaderAuthorTitle"/>
            <w:ind w:start="567" w:end="0"/>
            <w:rPr>
              <w:rFonts w:ascii="Century Schoolbook;NewCenturySchlbk" w:hAnsi="Century Schoolbook;NewCenturySchlbk" w:cs="Century Schoolbook;NewCenturySchlbk"/>
              <w:sz w:val="16"/>
            </w:rPr>
          </w:pPr>
          <w:r>
            <w:rPr>
              <w:rFonts w:cs="Century Schoolbook;NewCenturySchlbk" w:ascii="Century Schoolbook;NewCenturySchlbk" w:hAnsi="Century Schoolbook;NewCenturySchlbk"/>
              <w:sz w:val="16"/>
            </w:rPr>
            <w:t>Vice President</w:t>
            <w:b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2">
    <w:name w:val="heading 2"/>
    <w:basedOn w:val="Normal"/>
    <w:next w:val="Normal"/>
    <w:qFormat/>
    <w:pPr>
      <w:keepNext w:val="true"/>
      <w:numPr>
        <w:ilvl w:val="1"/>
        <w:numId w:val="1"/>
      </w:numPr>
      <w:ind w:hanging="0" w:start="720" w:end="0"/>
      <w:outlineLvl w:val="1"/>
    </w:pPr>
    <w:rPr>
      <w:rFonts w:cs="Arial"/>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rFonts w:ascii="Times New Roman" w:hAnsi="Times New Roman" w:cs="Times New Roman"/>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rPr>
  </w:style>
  <w:style w:type="paragraph" w:styleId="Closing">
    <w:name w:val="Closing"/>
    <w:basedOn w:val="Normal"/>
    <w:qFormat/>
    <w:pPr>
      <w:keepNext w:val="true"/>
      <w:spacing w:before="480" w:after="240"/>
      <w:ind w:hanging="0" w:start="4680" w:end="0"/>
    </w:pPr>
    <w:rPr>
      <w:rFonts w:ascii="NewCenturySchlbk" w:hAnsi="NewCenturySchlbk" w:cs="NewCenturySchlbk"/>
    </w:rPr>
  </w:style>
  <w:style w:type="paragraph" w:styleId="Salutation">
    <w:name w:val="Salutation"/>
    <w:basedOn w:val="Normal"/>
    <w:next w:val="Normal"/>
    <w:qFormat/>
    <w:pPr>
      <w:spacing w:lineRule="atLeast" w:line="240" w:before="480" w:after="0"/>
    </w:pPr>
    <w:rPr>
      <w:rFonts w:ascii="NewCenturySchlbk" w:hAnsi="NewCenturySchlbk" w:cs="NewCenturySchlbk"/>
      <w:kern w:val="2"/>
    </w:rPr>
  </w:style>
  <w:style w:type="paragraph" w:styleId="Date">
    <w:name w:val="Date"/>
    <w:basedOn w:val="Normal"/>
    <w:next w:val="Normal"/>
    <w:qFormat/>
    <w:pPr>
      <w:spacing w:before="0" w:after="480"/>
      <w:jc w:val="center"/>
    </w:pPr>
    <w:rPr>
      <w:rFonts w:ascii="NewCenturySchlbk" w:hAnsi="NewCenturySchlbk" w:cs="NewCenturySchlbk"/>
      <w:kern w:val="2"/>
      <w:lang w:val="en-CA" w:eastAsia="en-CA"/>
    </w:rPr>
  </w:style>
  <w:style w:type="paragraph" w:styleId="InsideAddress">
    <w:name w:val="Inside Address"/>
    <w:basedOn w:val="Normal"/>
    <w:qFormat/>
    <w:pPr>
      <w:spacing w:lineRule="atLeast" w:line="240"/>
      <w:jc w:val="both"/>
    </w:pPr>
    <w:rPr>
      <w:rFonts w:ascii="NewCenturySchlbk" w:hAnsi="NewCenturySchlbk" w:cs="NewCenturySchlbk"/>
      <w:kern w:val="2"/>
    </w:rPr>
  </w:style>
  <w:style w:type="paragraph" w:styleId="zNames">
    <w:name w:val="zNames"/>
    <w:basedOn w:val="InsideAddress"/>
    <w:qFormat/>
    <w:pPr>
      <w:keepNext w:val="true"/>
      <w:keepLines/>
      <w:spacing w:lineRule="auto" w:line="240" w:before="0" w:after="720"/>
      <w:jc w:val="start"/>
    </w:pPr>
    <w:rPr>
      <w:kern w:val="0"/>
    </w:rPr>
  </w:style>
  <w:style w:type="paragraph" w:styleId="zEnclosures">
    <w:name w:val="zEnclosures"/>
    <w:basedOn w:val="Normal"/>
    <w:next w:val="Normal"/>
    <w:qFormat/>
    <w:pPr>
      <w:keepNext w:val="true"/>
      <w:spacing w:before="240" w:after="240"/>
    </w:pPr>
    <w:rPr>
      <w:rFonts w:ascii="NewCenturySchlbk" w:hAnsi="NewCenturySchlbk" w:cs="NewCenturySchlbk"/>
    </w:rPr>
  </w:style>
  <w:style w:type="paragraph" w:styleId="LetterText">
    <w:name w:val="Letter Text"/>
    <w:basedOn w:val="Normal"/>
    <w:qFormat/>
    <w:pPr>
      <w:spacing w:before="240" w:after="0"/>
      <w:ind w:firstLine="720" w:start="0" w:end="0"/>
    </w:pPr>
    <w:rPr>
      <w:rFonts w:ascii="NewCenturySchlbk" w:hAnsi="NewCenturySchlbk" w:cs="NewCenturySchlbk"/>
    </w:rPr>
  </w:style>
  <w:style w:type="paragraph" w:styleId="Re">
    <w:name w:val="Re:"/>
    <w:basedOn w:val="Normal"/>
    <w:next w:val="Normal"/>
    <w:qFormat/>
    <w:pPr>
      <w:spacing w:before="480" w:after="0"/>
    </w:pPr>
    <w:rPr>
      <w:rFonts w:ascii="NewCenturySchlbk" w:hAnsi="NewCenturySchlbk" w:cs="NewCenturySchlbk"/>
    </w:rPr>
  </w:style>
  <w:style w:type="paragraph" w:styleId="Quote1">
    <w:name w:val="Quote 1"/>
    <w:basedOn w:val="Normal"/>
    <w:qFormat/>
    <w:pPr>
      <w:spacing w:before="240" w:after="0"/>
      <w:ind w:hanging="0" w:start="1440" w:end="1440"/>
    </w:pPr>
    <w:rPr>
      <w:rFonts w:ascii="NewCenturySchlbk" w:hAnsi="NewCenturySchlbk" w:cs="NewCenturySchlbk"/>
    </w:rPr>
  </w:style>
  <w:style w:type="paragraph" w:styleId="zHeaderAuthorName">
    <w:name w:val="zHeaderAuthorName"/>
    <w:basedOn w:val="Normal"/>
    <w:next w:val="zHeaderAuthorTitle"/>
    <w:qFormat/>
    <w:pPr>
      <w:tabs>
        <w:tab w:val="clear" w:pos="720"/>
        <w:tab w:val="center" w:pos="1260" w:leader="none"/>
      </w:tabs>
      <w:overflowPunct w:val="false"/>
      <w:autoSpaceDE w:val="false"/>
      <w:spacing w:before="360" w:after="29"/>
      <w:ind w:hanging="0" w:start="720" w:end="0"/>
      <w:textAlignment w:val="baseline"/>
    </w:pPr>
    <w:rPr>
      <w:rFonts w:ascii="Times New Roman" w:hAnsi="Times New Roman" w:cs="Times New Roman"/>
      <w:b/>
      <w:color w:val="808080"/>
      <w:spacing w:val="10"/>
      <w:sz w:val="18"/>
      <w:szCs w:val="20"/>
    </w:rPr>
  </w:style>
  <w:style w:type="paragraph" w:styleId="zHeaderAuthorTitle">
    <w:name w:val="zHeaderAuthorTitle"/>
    <w:basedOn w:val="Normal"/>
    <w:qFormat/>
    <w:pPr>
      <w:tabs>
        <w:tab w:val="clear" w:pos="720"/>
        <w:tab w:val="center" w:pos="1260" w:leader="none"/>
      </w:tabs>
      <w:overflowPunct w:val="false"/>
      <w:autoSpaceDE w:val="false"/>
      <w:ind w:hanging="0" w:start="720" w:end="0"/>
      <w:textAlignment w:val="baseline"/>
    </w:pPr>
    <w:rPr>
      <w:rFonts w:ascii="Times New Roman" w:hAnsi="Times New Roman" w:cs="Times New Roman"/>
      <w:color w:val="808080"/>
      <w:spacing w:val="-1"/>
      <w:sz w:val="18"/>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2001-10-09T14:32:00Z</dcterms:created>
  <dc:creator>Standard Configuration</dc:creator>
  <dc:description/>
  <dc:language>en-CA</dc:language>
  <cp:lastModifiedBy>Standard Configuration</cp:lastModifiedBy>
  <cp:lastPrinted>2001-10-09T10:18:00Z</cp:lastPrinted>
  <dcterms:modified xsi:type="dcterms:W3CDTF">2001-10-09T14:50:00Z</dcterms:modified>
  <cp:revision>3</cp:revision>
  <dc:subject/>
  <dc:title>October 4, 2001</dc:title>
</cp:coreProperties>
</file>