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u w:val="single"/>
        </w:rPr>
      </w:pPr>
      <w:r>
        <w:rPr>
          <w:b/>
          <w:bCs/>
          <w:u w:val="single"/>
        </w:rPr>
        <w:t>PG&amp;E Advice Letter Summary</w:t>
      </w:r>
    </w:p>
    <w:p>
      <w:pPr>
        <w:pStyle w:val="Body"/>
        <w:widowControl/>
        <w:ind w:hanging="0" w:end="0"/>
        <w:jc w:val="center"/>
        <w:rPr>
          <w:b/>
          <w:bCs/>
          <w:u w:val="single"/>
        </w:rPr>
      </w:pPr>
      <w:r>
        <w:rPr>
          <w:b/>
          <w:bCs/>
          <w:u w:val="single"/>
        </w:rPr>
        <w:t>October 4, 2000</w:t>
      </w:r>
    </w:p>
    <w:p>
      <w:pPr>
        <w:pStyle w:val="Body"/>
        <w:widowControl/>
        <w:ind w:hanging="0" w:end="0"/>
        <w:jc w:val="center"/>
        <w:rPr>
          <w:b/>
          <w:bCs/>
          <w:u w:val="single"/>
        </w:rPr>
      </w:pPr>
      <w:r>
        <w:rPr>
          <w:b/>
          <w:bCs/>
          <w:u w:val="single"/>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1805"/>
        <w:gridCol w:w="333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c>
          <w:tcPr>
            <w:tcW w:w="5762" w:type="dxa"/>
            <w:gridSpan w:val="4"/>
            <w:tcBorders/>
            <w:tcMar>
              <w:start w:w="0" w:type="dxa"/>
              <w:end w:w="0" w:type="dxa"/>
            </w:tcMar>
          </w:tcPr>
          <w:p>
            <w:pPr>
              <w:pStyle w:val="Normal"/>
              <w:snapToGrid w:val="false"/>
              <w:rPr>
                <w:b/>
                <w:bCs/>
              </w:rPr>
            </w:pPr>
            <w:r>
              <w:rPr>
                <w:b/>
                <w:bCs/>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2267-G / 2037-E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9/29/00</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10/19/00</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Ignore</w:t>
            </w:r>
          </w:p>
        </w:tc>
        <w:tc>
          <w:tcPr>
            <w:tcW w:w="5762" w:type="dxa"/>
            <w:gridSpan w:val="4"/>
            <w:tcBorders/>
            <w:tcMar>
              <w:start w:w="0" w:type="dxa"/>
              <w:end w:w="0" w:type="dxa"/>
            </w:tcMar>
          </w:tcPr>
          <w:p>
            <w:pPr>
              <w:pStyle w:val="Normal"/>
              <w:snapToGrid w:val="false"/>
              <w:rPr/>
            </w:pPr>
            <w:r>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bCs/>
              </w:rPr>
            </w:pPr>
            <w:r>
              <w:rPr>
                <w:b/>
                <w:bCs/>
              </w:rPr>
              <w:t xml:space="preserve">Analysis:  </w:t>
            </w:r>
          </w:p>
          <w:p>
            <w:pPr>
              <w:pStyle w:val="Normal"/>
              <w:widowControl/>
              <w:tabs>
                <w:tab w:val="clear" w:pos="720"/>
                <w:tab w:val="left" w:pos="1080" w:leader="none"/>
              </w:tabs>
              <w:ind w:start="360" w:end="342"/>
              <w:jc w:val="both"/>
              <w:rPr/>
            </w:pPr>
            <w:r>
              <w:rPr>
                <w:color w:val="000000"/>
              </w:rPr>
              <w:t xml:space="preserve">This advice letter submits </w:t>
            </w:r>
            <w:r>
              <w:rPr/>
              <w:t>copies of two gas and electric Facilities Transfer Agreements between the Company and the Consolidated Housing Authority of Sutter County (“Housing Authority”); one agreement transferring to the Company the ownership and maintenance responsibilities of gas utilities at the Housing Authority’s master-metered premises located in Yuba City, California, and the other agreement transferring electric utilities.</w:t>
            </w:r>
          </w:p>
          <w:p>
            <w:pPr>
              <w:pStyle w:val="Normal"/>
              <w:widowControl/>
              <w:rPr/>
            </w:pPr>
            <w:r>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bl>
    <w:p>
      <w:pPr>
        <w:pStyle w:val="Body"/>
        <w:widowControl/>
        <w:spacing w:before="0" w:after="0"/>
        <w:ind w:hanging="0" w:end="0"/>
        <w:jc w:val="center"/>
        <w:rPr/>
      </w:pPr>
      <w:r>
        <w:rPr/>
      </w:r>
    </w:p>
    <w:tbl>
      <w:tblPr>
        <w:tblW w:w="15338" w:type="dxa"/>
        <w:jc w:val="start"/>
        <w:tblInd w:w="0" w:type="dxa"/>
        <w:tblLayout w:type="fixed"/>
        <w:tblCellMar>
          <w:top w:w="0" w:type="dxa"/>
          <w:start w:w="108" w:type="dxa"/>
          <w:bottom w:w="0" w:type="dxa"/>
          <w:end w:w="108" w:type="dxa"/>
        </w:tblCellMar>
      </w:tblPr>
      <w:tblGrid>
        <w:gridCol w:w="1368"/>
        <w:gridCol w:w="1490"/>
        <w:gridCol w:w="1565"/>
        <w:gridCol w:w="1805"/>
        <w:gridCol w:w="3330"/>
        <w:gridCol w:w="18"/>
        <w:gridCol w:w="1427"/>
        <w:gridCol w:w="1445"/>
        <w:gridCol w:w="1445"/>
        <w:gridCol w:w="1445"/>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c>
          <w:tcPr>
            <w:tcW w:w="5762" w:type="dxa"/>
            <w:gridSpan w:val="4"/>
            <w:tcBorders/>
            <w:tcMar>
              <w:start w:w="0" w:type="dxa"/>
              <w:end w:w="0" w:type="dxa"/>
            </w:tcMar>
          </w:tcPr>
          <w:p>
            <w:pPr>
              <w:pStyle w:val="Normal"/>
              <w:snapToGrid w:val="false"/>
              <w:rPr>
                <w:b/>
                <w:bCs/>
              </w:rPr>
            </w:pPr>
            <w:r>
              <w:rPr>
                <w:b/>
                <w:bCs/>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color w:val="000000"/>
              </w:rPr>
            </w:pPr>
            <w:r>
              <w:rPr>
                <w:color w:val="000000"/>
              </w:rPr>
              <w:t>2268-G / 2038-E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PG&amp;E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10/2/00</w:t>
            </w:r>
          </w:p>
        </w:tc>
        <w:tc>
          <w:tcPr>
            <w:tcW w:w="180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10/22/00</w:t>
            </w:r>
          </w:p>
        </w:tc>
        <w:tc>
          <w:tcPr>
            <w:tcW w:w="3348" w:type="dxa"/>
            <w:gridSpan w:val="2"/>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Ignore</w:t>
            </w:r>
          </w:p>
        </w:tc>
        <w:tc>
          <w:tcPr>
            <w:tcW w:w="5762" w:type="dxa"/>
            <w:gridSpan w:val="4"/>
            <w:tcBorders/>
            <w:tcMar>
              <w:start w:w="0" w:type="dxa"/>
              <w:end w:w="0" w:type="dxa"/>
            </w:tcMar>
          </w:tcPr>
          <w:p>
            <w:pPr>
              <w:pStyle w:val="Normal"/>
              <w:snapToGrid w:val="false"/>
              <w:rPr/>
            </w:pPr>
            <w:r>
              <w:rPr/>
            </w:r>
          </w:p>
        </w:tc>
      </w:tr>
      <w:tr>
        <w:trPr/>
        <w:tc>
          <w:tcPr>
            <w:tcW w:w="9558" w:type="dxa"/>
            <w:gridSpan w:val="5"/>
            <w:tcBorders>
              <w:top w:val="single" w:sz="6" w:space="0" w:color="000000"/>
              <w:start w:val="single" w:sz="6" w:space="0" w:color="000000"/>
              <w:bottom w:val="single" w:sz="6" w:space="0" w:color="000000"/>
              <w:end w:val="single" w:sz="6" w:space="0" w:color="000000"/>
            </w:tcBorders>
          </w:tcPr>
          <w:p>
            <w:pPr>
              <w:pStyle w:val="Body"/>
              <w:widowControl/>
              <w:ind w:hanging="0" w:end="0"/>
              <w:rPr>
                <w:b/>
                <w:bCs/>
              </w:rPr>
            </w:pPr>
            <w:r>
              <w:rPr>
                <w:b/>
                <w:bCs/>
              </w:rPr>
              <w:t xml:space="preserve">Analysis:  </w:t>
            </w:r>
          </w:p>
          <w:p>
            <w:pPr>
              <w:pStyle w:val="Normal"/>
              <w:widowControl/>
              <w:tabs>
                <w:tab w:val="clear" w:pos="720"/>
                <w:tab w:val="left" w:pos="1080" w:leader="none"/>
              </w:tabs>
              <w:ind w:start="360" w:end="342"/>
              <w:jc w:val="both"/>
              <w:rPr/>
            </w:pPr>
            <w:r>
              <w:rPr>
                <w:color w:val="000000"/>
              </w:rPr>
              <w:t xml:space="preserve">This advice letter notifies the Commission of the formation of a new affiliate, as required by the Affiliate Transaction Rules.  </w:t>
            </w:r>
            <w:r>
              <w:rPr/>
              <w:t>Liberty Urban Renewal, LLC was formed on August 3, 2000, to own and lease the Liberty Generating Project to be located in Linden, New Jersey, and to operate under the New Jersey Long Term Exemption Law.</w:t>
            </w:r>
          </w:p>
          <w:p>
            <w:pPr>
              <w:pStyle w:val="Normal"/>
              <w:widowControl/>
              <w:rPr/>
            </w:pPr>
            <w:r>
              <w:rPr/>
            </w:r>
          </w:p>
        </w:tc>
        <w:tc>
          <w:tcPr>
            <w:tcW w:w="1445" w:type="dxa"/>
            <w:gridSpan w:val="2"/>
            <w:tcBorders>
              <w:top w:val="dashed" w:sz="6" w:space="0" w:color="auto"/>
              <w:start w:val="single" w:sz="6" w:space="0" w:color="000000"/>
              <w:bottom w:val="dashed" w:sz="6" w:space="0" w:color="auto"/>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c>
          <w:tcPr>
            <w:tcW w:w="1445"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pPr>
            <w:r>
              <w:rPr/>
            </w:r>
          </w:p>
        </w:tc>
      </w:tr>
    </w:tbl>
    <w:p>
      <w:pPr>
        <w:pStyle w:val="Body"/>
        <w:widowControl/>
        <w:spacing w:before="0" w:after="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r>
            <w:rPr>
              <w:rStyle w:val="PageNumber"/>
              <w:sz w:val="24"/>
              <w:szCs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PG&amp;E Advice Letter Summary Chart</w:t>
    </w:r>
  </w:p>
  <w:p>
    <w:pPr>
      <w:pStyle w:val="Header"/>
      <w:widowControl/>
      <w:rPr/>
    </w:pPr>
    <w:r>
      <w:rPr/>
      <w:t>September 19, 2000</w:t>
    </w:r>
  </w:p>
  <w:p>
    <w:pPr>
      <w:pStyle w:val="Header"/>
      <w:widowControl/>
      <w:rPr>
        <w:rStyle w:val="PageNumber"/>
        <w:sz w:val="24"/>
        <w:szCs w:val="24"/>
      </w:rPr>
    </w:pPr>
    <w:r>
      <w:rPr/>
      <w:t xml:space="preserve">Page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p>
  <w:p>
    <w:pPr>
      <w:pStyle w:val="Header"/>
      <w:widowControl/>
      <w:rPr>
        <w:rStyle w:val="PageNumber"/>
        <w:sz w:val="24"/>
        <w:szCs w:val="24"/>
      </w:rPr>
    </w:pPr>
    <w:r>
      <w:rPr/>
    </w:r>
  </w:p>
  <w:p>
    <w:pPr>
      <w:pStyle w:val="Header"/>
      <w:widowControl/>
      <w:rPr>
        <w:rStyle w:val="PageNumber"/>
        <w:sz w:val="24"/>
        <w:szCs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Text2">
    <w:name w:val="Body Text 2"/>
    <w:basedOn w:val="Normal"/>
    <w:qFormat/>
    <w:pPr>
      <w:jc w:val="both"/>
    </w:pPr>
    <w:rPr>
      <w:rFonts w:ascii="Arial" w:hAnsi="Arial" w:eastAsia="Arial" w:cs="Arial"/>
      <w:color w:val="FF0000"/>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2000-10-04T12:59:00Z</dcterms:created>
  <dc:creator>Arter &amp; Hadden</dc:creator>
  <dc:description/>
  <dc:language>en-CA</dc:language>
  <cp:lastModifiedBy>Arter &amp; Hadden</cp:lastModifiedBy>
  <cp:lastPrinted>2000-10-04T08:39:00Z</cp:lastPrinted>
  <dcterms:modified xsi:type="dcterms:W3CDTF">2000-10-04T13:09:00Z</dcterms:modified>
  <cp:revision>3</cp:revision>
  <dc:subject/>
  <dc:title>A</dc:title>
</cp:coreProperties>
</file>