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Zurich BT;Tahoma" w:hAnsi="Zurich BT;Tahoma" w:cs="Zurich BT;Tahoma"/>
          <w:spacing w:val="-8"/>
          <w:sz w:val="16"/>
          <w:lang w:val="en-CA"/>
        </w:rPr>
      </w:pPr>
      <w:r>
        <w:rPr>
          <w:rFonts w:cs="Zurich BT;Tahoma" w:ascii="Zurich BT;Tahoma" w:hAnsi="Zurich BT;Tahoma"/>
          <w:spacing w:val="-8"/>
          <w:sz w:val="16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3566160</wp:posOffset>
            </wp:positionH>
            <wp:positionV relativeFrom="paragraph">
              <wp:posOffset>-274320</wp:posOffset>
            </wp:positionV>
            <wp:extent cx="2189480" cy="665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</w:r>
    </w:p>
    <w:p>
      <w:pPr>
        <w:pStyle w:val="Normal"/>
        <w:ind w:firstLine="720" w:start="6480" w:end="0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>1401 New York Avenue, NW</w:t>
      </w:r>
    </w:p>
    <w:p>
      <w:pPr>
        <w:pStyle w:val="Normal"/>
        <w:rPr/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11</w:t>
      </w:r>
      <w:r>
        <w:rPr>
          <w:rFonts w:cs="Zurich BT;Tahoma" w:ascii="Zurich BT;Tahoma" w:hAnsi="Zurich BT;Tahoma"/>
          <w:color w:val="808080"/>
          <w:spacing w:val="-8"/>
          <w:sz w:val="16"/>
          <w:vertAlign w:val="superscript"/>
        </w:rPr>
        <w:t>th</w:t>
      </w:r>
      <w:r>
        <w:rPr>
          <w:rFonts w:cs="Zurich BT;Tahoma" w:ascii="Zurich BT;Tahoma" w:hAnsi="Zurich BT;Tahoma"/>
          <w:color w:val="808080"/>
          <w:spacing w:val="-8"/>
          <w:sz w:val="16"/>
        </w:rPr>
        <w:t xml:space="preserve"> Floor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6"/>
        </w:rPr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 fax</w:t>
      </w:r>
    </w:p>
    <w:p>
      <w:pPr>
        <w:pStyle w:val="Normal"/>
        <w:rPr/>
      </w:pPr>
      <w:r>
        <w:rPr>
          <w:rFonts w:cs="Zurich BT;Tahoma" w:ascii="Zurich BT;Tahoma" w:hAnsi="Zurich BT;Tahoma"/>
          <w:color w:val="808080"/>
          <w:spacing w:val="-8"/>
          <w:sz w:val="16"/>
        </w:rPr>
        <w:tab/>
        <w:tab/>
        <w:tab/>
        <w:tab/>
        <w:tab/>
        <w:tab/>
        <w:tab/>
        <w:tab/>
        <w:tab/>
        <w:tab/>
      </w:r>
      <w:r>
        <w:rPr>
          <w:rFonts w:cs="Zurich BT;Tahoma" w:ascii="Zurich BT;Tahoma" w:hAnsi="Zurich BT;Tahoma"/>
          <w:color w:val="808080"/>
          <w:spacing w:val="-14"/>
          <w:sz w:val="16"/>
        </w:rPr>
        <w:t>www.epsa.org</w:t>
      </w:r>
    </w:p>
    <w:p>
      <w:pPr>
        <w:pStyle w:val="Normal"/>
        <w:rPr>
          <w:rFonts w:ascii="Zurich BT;Tahoma" w:hAnsi="Zurich BT;Tahoma" w:cs="Zurich BT;Tahoma"/>
          <w:color w:val="808080"/>
          <w:spacing w:val="-8"/>
          <w:sz w:val="18"/>
        </w:rPr>
      </w:pPr>
      <w:r>
        <w:rPr>
          <w:rFonts w:cs="Zurich BT;Tahoma" w:ascii="Zurich BT;Tahoma" w:hAnsi="Zurich BT;Tahoma"/>
          <w:color w:val="808080"/>
          <w:spacing w:val="-8"/>
          <w:sz w:val="18"/>
        </w:rPr>
      </w:r>
    </w:p>
    <w:p>
      <w:pPr>
        <w:pStyle w:val="Normal"/>
        <w:rPr>
          <w:rFonts w:ascii="Arial" w:hAnsi="Arial" w:cs="Arial"/>
          <w:b/>
          <w:spacing w:val="20"/>
          <w:sz w:val="24"/>
        </w:rPr>
      </w:pPr>
      <w:r>
        <w:rPr>
          <w:rFonts w:cs="Arial" w:ascii="Arial" w:hAnsi="Arial"/>
          <w:b/>
          <w:caps/>
          <w:spacing w:val="20"/>
          <w:sz w:val="24"/>
        </w:rPr>
        <w:t>Memorandum</w:t>
      </w:r>
      <w:r>
        <w:rPr>
          <w:rFonts w:cs="Arial" w:ascii="Arial" w:hAnsi="Arial"/>
          <w:b/>
          <w:spacing w:val="20"/>
          <w:sz w:val="24"/>
        </w:rPr>
        <w:b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8820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TO:</w:t>
            </w:r>
          </w:p>
        </w:tc>
        <w:tc>
          <w:tcPr>
            <w:tcW w:w="8820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EPSA Legislative Affairs Committee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FROM:</w:t>
            </w:r>
          </w:p>
        </w:tc>
        <w:tc>
          <w:tcPr>
            <w:tcW w:w="8820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Scott A. Weiner, Legislative Affairs Committee Chair</w:t>
              <w:br/>
              <w:t>Andrea L. Spring, Manager of Government Affairs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DATE:</w:t>
            </w:r>
          </w:p>
        </w:tc>
        <w:tc>
          <w:tcPr>
            <w:tcW w:w="882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fldChar w:fldCharType="begin"/>
            </w:r>
            <w:r>
              <w:rPr>
                <w:sz w:val="24"/>
                <w:rFonts w:cs="Arial" w:ascii="Arial" w:hAnsi="Arial"/>
              </w:rPr>
              <w:instrText xml:space="preserve"> DATE \@"MMMM\ d', 'yyyy" </w:instrText>
            </w:r>
            <w:r>
              <w:rPr>
                <w:sz w:val="24"/>
                <w:rFonts w:cs="Arial" w:ascii="Arial" w:hAnsi="Arial"/>
              </w:rPr>
              <w:fldChar w:fldCharType="separate"/>
            </w:r>
            <w:r>
              <w:rPr>
                <w:sz w:val="24"/>
                <w:rFonts w:cs="Arial" w:ascii="Arial" w:hAnsi="Arial"/>
              </w:rPr>
              <w:t>September 28, 2025</w:t>
            </w:r>
            <w:r>
              <w:rPr>
                <w:sz w:val="24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mallCaps/>
                <w:sz w:val="24"/>
              </w:rPr>
            </w:pPr>
            <w:r>
              <w:rPr>
                <w:rFonts w:cs="Arial" w:ascii="Arial" w:hAnsi="Arial"/>
                <w:b/>
                <w:smallCaps/>
                <w:sz w:val="24"/>
              </w:rPr>
              <w:t>RE:</w:t>
            </w:r>
          </w:p>
        </w:tc>
        <w:tc>
          <w:tcPr>
            <w:tcW w:w="8820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color w:val="000000"/>
                <w:sz w:val="24"/>
                <w:u w:val="single"/>
                <w:lang w:eastAsia="en-US"/>
              </w:rPr>
              <w:t>UPDATE</w:t>
            </w:r>
            <w:r>
              <w:rPr>
                <w:rFonts w:cs="Arial" w:ascii="Arial" w:hAnsi="Arial"/>
                <w:b/>
                <w:i/>
                <w:color w:val="000000"/>
                <w:sz w:val="24"/>
                <w:lang w:eastAsia="en-US"/>
              </w:rPr>
              <w:t>:</w:t>
            </w:r>
            <w:r>
              <w:rPr>
                <w:rFonts w:cs="Arial" w:ascii="Arial" w:hAnsi="Arial"/>
                <w:color w:val="000000"/>
                <w:sz w:val="24"/>
                <w:lang w:eastAsia="en-US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  <w:i/>
                <w:i/>
                <w:color w:val="000000"/>
                <w:sz w:val="24"/>
                <w:lang w:eastAsia="en-US"/>
              </w:rPr>
            </w:pPr>
            <w:r>
              <w:rPr>
                <w:rFonts w:cs="Arial" w:ascii="Arial" w:hAnsi="Arial"/>
                <w:b/>
                <w:i/>
                <w:color w:val="000000"/>
                <w:sz w:val="24"/>
                <w:lang w:eastAsia="en-US"/>
              </w:rPr>
              <w:t>House Hearings on Electricity Officially Rescheduled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  <w:lang w:eastAsia="en-US"/>
              </w:rPr>
              <w:t>Senate Energy and Natural Resources Committee to report Energy Security Infrastructure Legislation, and then return to Comprehensive Energy Package</w:t>
            </w:r>
          </w:p>
        </w:tc>
      </w:tr>
    </w:tbl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lang w:eastAsia="en-US"/>
        </w:rPr>
        <w:t>The House Subcommittee on Energy will announce that the hearing on Transmission Policy – Siting, Incentives and Reliability, originally scheduled for September 11</w:t>
      </w:r>
      <w:r>
        <w:rPr>
          <w:rFonts w:cs="Arial" w:ascii="Arial" w:hAnsi="Arial"/>
          <w:color w:val="000000"/>
          <w:sz w:val="24"/>
          <w:vertAlign w:val="superscript"/>
          <w:lang w:eastAsia="en-US"/>
        </w:rPr>
        <w:t>th</w:t>
      </w:r>
      <w:r>
        <w:rPr>
          <w:rFonts w:cs="Arial" w:ascii="Arial" w:hAnsi="Arial"/>
          <w:color w:val="000000"/>
          <w:sz w:val="24"/>
          <w:lang w:eastAsia="en-US"/>
        </w:rPr>
        <w:t>, will now take place on October 10</w:t>
      </w:r>
      <w:r>
        <w:rPr>
          <w:rFonts w:cs="Arial" w:ascii="Arial" w:hAnsi="Arial"/>
          <w:color w:val="000000"/>
          <w:sz w:val="24"/>
          <w:vertAlign w:val="superscript"/>
          <w:lang w:eastAsia="en-US"/>
        </w:rPr>
        <w:t>th</w:t>
      </w:r>
      <w:r>
        <w:rPr>
          <w:rFonts w:cs="Arial" w:ascii="Arial" w:hAnsi="Arial"/>
          <w:color w:val="000000"/>
          <w:sz w:val="24"/>
          <w:lang w:eastAsia="en-US"/>
        </w:rPr>
        <w:t>.  We expect the second cancelled electricity hearing on RTOs, Open Access and Jurisdiction also to be rescheduled shortly.  Likely dates for the second hearing include the afternoon of October 10</w:t>
      </w:r>
      <w:r>
        <w:rPr>
          <w:rFonts w:cs="Arial" w:ascii="Arial" w:hAnsi="Arial"/>
          <w:color w:val="000000"/>
          <w:sz w:val="24"/>
          <w:vertAlign w:val="superscript"/>
          <w:lang w:eastAsia="en-US"/>
        </w:rPr>
        <w:t>th</w:t>
      </w:r>
      <w:r>
        <w:rPr>
          <w:rFonts w:cs="Arial" w:ascii="Arial" w:hAnsi="Arial"/>
          <w:color w:val="000000"/>
          <w:sz w:val="24"/>
          <w:lang w:eastAsia="en-US"/>
        </w:rPr>
        <w:t xml:space="preserve"> and October 11</w:t>
      </w:r>
      <w:r>
        <w:rPr>
          <w:rFonts w:cs="Arial" w:ascii="Arial" w:hAnsi="Arial"/>
          <w:color w:val="000000"/>
          <w:sz w:val="24"/>
          <w:vertAlign w:val="superscript"/>
          <w:lang w:eastAsia="en-US"/>
        </w:rPr>
        <w:t>th</w:t>
      </w:r>
      <w:r>
        <w:rPr>
          <w:rFonts w:cs="Arial" w:ascii="Arial" w:hAnsi="Arial"/>
          <w:color w:val="000000"/>
          <w:sz w:val="24"/>
          <w:lang w:eastAsia="en-US"/>
        </w:rPr>
        <w:t>.</w:t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BodyText2"/>
        <w:rPr/>
      </w:pPr>
      <w:r>
        <w:rPr/>
        <w:t xml:space="preserve">The Senate Energy and Natural Resources Committee is drafting legislation on Energy Security Infrastructure and intends to markup such legislation next week.  </w:t>
      </w:r>
      <w:r>
        <w:rPr>
          <w:b/>
          <w:u w:val="single"/>
        </w:rPr>
        <w:t>WE HAVE BEEN ASKED TO PROVIDE "SPECIFIC SUGGESTIONS ON FEDERAL LEGISLATION THAT WOULD ENABLE OUR INDUSTRY TO IMPROVE ITS ABILITY TO PROTECT ITS CRITICAL PHYSICAL AND CYBER-INFRASTRUCTURES FROM ATTACK, NATURAL DISASTERS AND OTHER EMERGENCIES, AND TO RESPOND TO THESE INCIDENTS."  PLEASE FORWARD ANY SUGESTIONS AS SOON AS POSSIBLE TO GENE PETERS (gpeters@epsa.org) AT EPSA.</w:t>
      </w:r>
    </w:p>
    <w:p>
      <w:pPr>
        <w:pStyle w:val="Normal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tabs>
          <w:tab w:val="clear" w:pos="720"/>
          <w:tab w:val="left" w:pos="0" w:leader="none"/>
        </w:tabs>
        <w:spacing w:before="0" w:after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Following the Energy and Commerce Committee's completion of action on the infrastructure bill, the Committee would return to a markup of comprehensive energy legislation.  According to majority staff on the Committee, electricity provisions could be considered as early as two weeks from today.</w:t>
      </w:r>
    </w:p>
    <w:sectPr>
      <w:footerReference w:type="default" r:id="rId3"/>
      <w:type w:val="nextPage"/>
      <w:pgSz w:w="12240" w:h="15840"/>
      <w:pgMar w:left="1440" w:right="1440" w:gutter="0" w:header="0" w:top="1296" w:footer="72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Zurich BT">
    <w:altName w:val="Tahoma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  <w:sz w:val="20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before="0" w:after="240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yle0">
    <w:name w:val="Style0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/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EPSA Leg Affairs Memo.dot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2001-10-03T19:04:00Z</dcterms:created>
  <dc:creator>Donn J. Salvosa</dc:creator>
  <dc:description/>
  <dc:language>en-CA</dc:language>
  <cp:lastModifiedBy>EPSA Staff</cp:lastModifiedBy>
  <cp:lastPrinted>2001-09-25T16:29:00Z</cp:lastPrinted>
  <dcterms:modified xsi:type="dcterms:W3CDTF">2001-10-03T19:24:00Z</dcterms:modified>
  <cp:revision>3</cp:revision>
  <dc:subject/>
  <dc:title>						 	1401 H Street, NW</dc:title>
</cp:coreProperties>
</file>