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u w:val="single"/>
        </w:rPr>
      </w:pPr>
      <w:r>
        <w:rPr>
          <w:b/>
          <w:u w:val="single"/>
        </w:rPr>
        <w:t>Edison Advice Letter Summary</w:t>
      </w:r>
    </w:p>
    <w:p>
      <w:pPr>
        <w:pStyle w:val="Body"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  <w:t>October 3, 2000</w:t>
      </w:r>
    </w:p>
    <w:p>
      <w:pPr>
        <w:pStyle w:val="Body"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153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  <w:gridCol w:w="1440"/>
        <w:gridCol w:w="1440"/>
        <w:gridCol w:w="1440"/>
        <w:gridCol w:w="1440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1489-E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Edison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9/29/00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10/19/00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  <w:tc>
          <w:tcPr>
            <w:tcW w:w="576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0" w:start="36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Body"/>
              <w:spacing w:before="0" w:after="0"/>
              <w:ind w:hanging="0" w:start="360" w:end="0"/>
              <w:jc w:val="both"/>
              <w:rPr/>
            </w:pPr>
            <w:r>
              <w:rPr/>
              <w:t xml:space="preserve">This advice letter revises various forms dealing with cogeneration, conjunctive electric billing for schools, interruptible service declarations, the residential end use test program agreement and the C/I industrial off-peak cooling program feasibility study and installation agreements.  </w:t>
            </w:r>
          </w:p>
          <w:p>
            <w:pPr>
              <w:pStyle w:val="Body"/>
              <w:spacing w:before="0" w:after="0"/>
              <w:ind w:hanging="0" w:start="360" w:end="0"/>
              <w:jc w:val="both"/>
              <w:rPr/>
            </w:pPr>
            <w:r>
              <w:rPr/>
              <w:br/>
              <w:t>Experimental Schedule AD, Time-Related Demand Aggregation Service, is being withdrawn.  The last agreement for service under this schedule was signed in 9/97 and there are no customers currently served under it.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"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spacing w:before="0" w:after="0"/>
        <w:ind w:hanging="0" w:end="0"/>
        <w:jc w:val="both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Edison Advice Letter Summary</w:t>
    </w:r>
  </w:p>
  <w:p>
    <w:pPr>
      <w:pStyle w:val="Header"/>
      <w:rPr/>
    </w:pPr>
    <w:r>
      <w:rPr/>
      <w:t>August 30, 2000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DOC_TYPE" w:val="MISC"/>
    <w:docVar w:name="DOC_VIEW" w:val="85"/>
    <w:docVar w:name="FULL_NAME" w:val="Daniel W. Douglass"/>
    <w:docVar w:name="USER_ID" w:val="DD9"/>
    <w:docVar w:name="VER" w:val="1.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</w:rPr>
  </w:style>
  <w:style w:type="character" w:styleId="BoldUnd">
    <w:name w:val="BoldUnd"/>
    <w:basedOn w:val="DefaultParagraphFont"/>
    <w:qFormat/>
    <w:rPr>
      <w:b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lang w:val="en-CA" w:eastAsia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Level1">
    <w:name w:val="Level 1"/>
    <w:basedOn w:val="Normal"/>
    <w:next w:val="Normal"/>
    <w:qFormat/>
    <w:pPr>
      <w:widowControl w:val="false"/>
      <w:suppressAutoHyphens w:val="true"/>
      <w:spacing w:lineRule="exact" w:line="200" w:before="0" w:after="200"/>
      <w:ind w:hanging="432" w:start="864" w:end="0"/>
    </w:pPr>
    <w:rPr>
      <w:rFonts w:ascii="Arial" w:hAnsi="Arial" w:cs="Arial"/>
      <w:sz w:val="18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2000-10-03T11:38:00Z</dcterms:created>
  <dc:creator>Arter &amp; Hadden</dc:creator>
  <dc:description/>
  <dc:language>en-CA</dc:language>
  <cp:lastModifiedBy>Arter &amp; Hadden LLP</cp:lastModifiedBy>
  <cp:lastPrinted>2000-08-30T07:34:00Z</cp:lastPrinted>
  <dcterms:modified xsi:type="dcterms:W3CDTF">2000-10-03T11:46:00Z</dcterms:modified>
  <cp:revision>3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 </vt:lpwstr>
  </property>
  <property fmtid="{D5CDD505-2E9C-101B-9397-08002B2CF9AE}" pid="3" name="DocNumber">
    <vt:lpwstr>1</vt:lpwstr>
  </property>
  <property fmtid="{D5CDD505-2E9C-101B-9397-08002B2CF9AE}" pid="4" name="DocVersion">
    <vt:lpwstr>1</vt:lpwstr>
  </property>
  <property fmtid="{D5CDD505-2E9C-101B-9397-08002B2CF9AE}" pid="5" name="Matter">
    <vt:lpwstr> </vt:lpwstr>
  </property>
</Properties>
</file>