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footer1.xml" ContentType="application/vnd.openxmlformats-officedocument.wordprocessingml.footer+xml"/>
  <Override PartName="/word/comments.xml" ContentType="application/vnd.openxmlformats-officedocument.wordprocessingml.comment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t>UNITED STATES OF AMERICA</w:t>
      </w:r>
    </w:p>
    <w:p>
      <w:pPr>
        <w:pStyle w:val="Normal"/>
        <w:widowControl/>
        <w:jc w:val="center"/>
        <w:rPr>
          <w:b/>
          <w:bCs/>
          <w:sz w:val="24"/>
          <w:szCs w:val="24"/>
        </w:rPr>
      </w:pPr>
      <w:r>
        <w:rPr>
          <w:b/>
          <w:bCs/>
          <w:sz w:val="24"/>
          <w:szCs w:val="24"/>
        </w:rPr>
        <w:t>BEFORE THE</w:t>
      </w:r>
    </w:p>
    <w:p>
      <w:pPr>
        <w:pStyle w:val="Normal"/>
        <w:widowControl/>
        <w:jc w:val="center"/>
        <w:rPr>
          <w:sz w:val="24"/>
          <w:szCs w:val="24"/>
        </w:rPr>
      </w:pPr>
      <w:r>
        <w:rPr>
          <w:b/>
          <w:bCs/>
          <w:sz w:val="24"/>
          <w:szCs w:val="24"/>
        </w:rPr>
        <w:t>FEDERAL ENERGY REGULATORY COMMISSION</w:t>
      </w:r>
    </w:p>
    <w:p>
      <w:pPr>
        <w:pStyle w:val="Normal"/>
        <w:widowControl/>
        <w:rPr>
          <w:sz w:val="24"/>
          <w:szCs w:val="24"/>
        </w:rPr>
      </w:pPr>
      <w:r>
        <w:rPr>
          <w:sz w:val="24"/>
          <w:szCs w:val="24"/>
        </w:rPr>
      </w:r>
    </w:p>
    <w:p>
      <w:pPr>
        <w:pStyle w:val="Normal"/>
        <w:widowControl/>
        <w:rPr>
          <w:sz w:val="24"/>
          <w:szCs w:val="24"/>
        </w:rPr>
      </w:pPr>
      <w:r>
        <w:rPr>
          <w:sz w:val="24"/>
          <w:szCs w:val="24"/>
        </w:rPr>
        <w:t>__________________________________________</w:t>
        <w:tab/>
        <w:t xml:space="preserve"> </w:t>
      </w:r>
    </w:p>
    <w:p>
      <w:pPr>
        <w:pStyle w:val="Normal"/>
        <w:widowControl/>
        <w:rPr>
          <w:sz w:val="24"/>
          <w:szCs w:val="24"/>
        </w:rPr>
      </w:pPr>
      <w:r>
        <w:rPr>
          <w:sz w:val="24"/>
          <w:szCs w:val="24"/>
        </w:rPr>
        <w:tab/>
        <w:tab/>
        <w:tab/>
        <w:tab/>
        <w:tab/>
        <w:tab/>
        <w:tab/>
        <w:t>)</w:t>
      </w:r>
    </w:p>
    <w:p>
      <w:pPr>
        <w:pStyle w:val="Normal"/>
        <w:widowControl/>
        <w:rPr>
          <w:sz w:val="24"/>
          <w:szCs w:val="24"/>
        </w:rPr>
      </w:pPr>
      <w:r>
        <w:rPr>
          <w:sz w:val="24"/>
          <w:szCs w:val="24"/>
        </w:rPr>
        <w:t>San Diego Gas &amp; Electric Company</w:t>
        <w:tab/>
        <w:tab/>
        <w:t xml:space="preserve"> </w:t>
        <w:tab/>
        <w:t>)</w:t>
      </w:r>
    </w:p>
    <w:p>
      <w:pPr>
        <w:pStyle w:val="Normal"/>
        <w:widowControl/>
        <w:rPr>
          <w:sz w:val="24"/>
          <w:szCs w:val="24"/>
        </w:rPr>
      </w:pPr>
      <w:r>
        <w:rPr>
          <w:sz w:val="24"/>
          <w:szCs w:val="24"/>
        </w:rPr>
        <w:t xml:space="preserve">                                                                            </w:t>
      </w:r>
      <w:r>
        <w:rPr>
          <w:sz w:val="24"/>
          <w:szCs w:val="24"/>
        </w:rPr>
        <w:tab/>
        <w:t>)</w:t>
      </w:r>
    </w:p>
    <w:p>
      <w:pPr>
        <w:pStyle w:val="Normal"/>
        <w:widowControl/>
        <w:ind w:firstLine="720" w:start="720" w:end="0"/>
        <w:rPr>
          <w:sz w:val="24"/>
          <w:szCs w:val="24"/>
        </w:rPr>
      </w:pPr>
      <w:r>
        <w:rPr>
          <w:sz w:val="24"/>
          <w:szCs w:val="24"/>
        </w:rPr>
        <w:t>v.</w:t>
        <w:tab/>
        <w:tab/>
        <w:tab/>
        <w:tab/>
        <w:tab/>
        <w:t>)</w:t>
        <w:tab/>
        <w:t xml:space="preserve">Docket Nos.  EL00-95-000      </w:t>
      </w:r>
    </w:p>
    <w:p>
      <w:pPr>
        <w:pStyle w:val="Normal"/>
        <w:widowControl/>
        <w:ind w:firstLine="720" w:start="720" w:end="0"/>
        <w:rPr>
          <w:sz w:val="24"/>
          <w:szCs w:val="24"/>
        </w:rPr>
      </w:pPr>
      <w:r>
        <w:rPr>
          <w:sz w:val="24"/>
          <w:szCs w:val="24"/>
        </w:rPr>
        <w:tab/>
        <w:tab/>
        <w:tab/>
        <w:tab/>
        <w:tab/>
        <w:t>)</w:t>
        <w:tab/>
        <w:tab/>
        <w:t xml:space="preserve">          EL00-98-000</w:t>
      </w:r>
    </w:p>
    <w:p>
      <w:pPr>
        <w:pStyle w:val="Normal"/>
        <w:widowControl/>
        <w:rPr>
          <w:sz w:val="24"/>
          <w:szCs w:val="24"/>
        </w:rPr>
      </w:pPr>
      <w:r>
        <w:rPr>
          <w:sz w:val="24"/>
          <w:szCs w:val="24"/>
        </w:rPr>
        <w:t>Sellers of Energy and Ancillary Services Into</w:t>
        <w:tab/>
        <w:t>)</w:t>
        <w:tab/>
        <w:tab/>
        <w:tab/>
        <w:t>(Consolidated)</w:t>
      </w:r>
    </w:p>
    <w:p>
      <w:pPr>
        <w:pStyle w:val="Normal"/>
        <w:widowControl/>
        <w:rPr>
          <w:sz w:val="24"/>
          <w:szCs w:val="24"/>
        </w:rPr>
      </w:pPr>
      <w:r>
        <w:rPr>
          <w:sz w:val="24"/>
          <w:szCs w:val="24"/>
        </w:rPr>
        <w:t>Markets Operated by the California Independent</w:t>
        <w:tab/>
        <w:t>)</w:t>
      </w:r>
    </w:p>
    <w:p>
      <w:pPr>
        <w:pStyle w:val="Normal"/>
        <w:widowControl/>
        <w:rPr>
          <w:sz w:val="24"/>
          <w:szCs w:val="24"/>
        </w:rPr>
      </w:pPr>
      <w:r>
        <w:rPr>
          <w:sz w:val="24"/>
          <w:szCs w:val="24"/>
        </w:rPr>
        <w:t xml:space="preserve">System Operator and the California Power </w:t>
        <w:tab/>
        <w:tab/>
        <w:t>)</w:t>
      </w:r>
    </w:p>
    <w:p>
      <w:pPr>
        <w:pStyle w:val="BodyText2"/>
        <w:widowControl/>
        <w:spacing w:lineRule="auto" w:line="240"/>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Exchange.</w:t>
        <w:tab/>
        <w:tab/>
        <w:tab/>
        <w:tab/>
        <w:tab/>
        <w:tab/>
        <w:t>)</w:t>
      </w:r>
    </w:p>
    <w:p>
      <w:pPr>
        <w:pStyle w:val="Normal"/>
        <w:widowControl/>
        <w:rPr>
          <w:sz w:val="24"/>
          <w:szCs w:val="24"/>
        </w:rPr>
      </w:pPr>
      <w:r>
        <w:rPr>
          <w:sz w:val="24"/>
          <w:szCs w:val="24"/>
        </w:rPr>
        <w:t>__________________________________________)</w:t>
      </w:r>
    </w:p>
    <w:p>
      <w:pPr>
        <w:pStyle w:val="Normal"/>
        <w:widowControl/>
        <w:rPr>
          <w:sz w:val="24"/>
          <w:szCs w:val="24"/>
        </w:rPr>
      </w:pPr>
      <w:r>
        <w:rPr>
          <w:sz w:val="24"/>
          <w:szCs w:val="24"/>
        </w:rPr>
        <w:tab/>
        <w:tab/>
        <w:tab/>
        <w:tab/>
        <w:tab/>
        <w:tab/>
        <w:tab/>
        <w:t>)</w:t>
      </w:r>
    </w:p>
    <w:p>
      <w:pPr>
        <w:pStyle w:val="Normal"/>
        <w:widowControl/>
        <w:rPr>
          <w:sz w:val="24"/>
          <w:szCs w:val="24"/>
        </w:rPr>
      </w:pPr>
      <w:r>
        <w:rPr>
          <w:sz w:val="24"/>
          <w:szCs w:val="24"/>
        </w:rPr>
        <w:t>Investigation of Practices of the California</w:t>
        <w:tab/>
        <w:tab/>
        <w:t>)</w:t>
      </w:r>
    </w:p>
    <w:p>
      <w:pPr>
        <w:pStyle w:val="Normal"/>
        <w:widowControl/>
        <w:rPr>
          <w:sz w:val="24"/>
          <w:szCs w:val="24"/>
        </w:rPr>
      </w:pPr>
      <w:r>
        <w:rPr>
          <w:sz w:val="24"/>
          <w:szCs w:val="24"/>
        </w:rPr>
        <w:t>Independent System Operator Corporation and</w:t>
        <w:tab/>
        <w:t>)</w:t>
      </w:r>
    </w:p>
    <w:p>
      <w:pPr>
        <w:pStyle w:val="Normal"/>
        <w:widowControl/>
        <w:rPr>
          <w:sz w:val="24"/>
          <w:szCs w:val="24"/>
        </w:rPr>
      </w:pPr>
      <w:r>
        <w:rPr>
          <w:sz w:val="24"/>
          <w:szCs w:val="24"/>
        </w:rPr>
        <w:t>The California Power Exchange</w:t>
        <w:tab/>
        <w:tab/>
        <w:tab/>
        <w:t>)</w:t>
      </w:r>
    </w:p>
    <w:p>
      <w:pPr>
        <w:pStyle w:val="Normal"/>
        <w:widowControl/>
        <w:rPr>
          <w:sz w:val="24"/>
          <w:szCs w:val="24"/>
        </w:rPr>
      </w:pPr>
      <w:r>
        <w:rPr>
          <w:sz w:val="24"/>
          <w:szCs w:val="24"/>
        </w:rPr>
        <w:t>__________________________________________)</w:t>
      </w:r>
    </w:p>
    <w:p>
      <w:pPr>
        <w:pStyle w:val="Normal"/>
        <w:widowControl/>
        <w:rPr>
          <w:sz w:val="24"/>
          <w:szCs w:val="24"/>
        </w:rPr>
      </w:pPr>
      <w:r>
        <w:rPr>
          <w:sz w:val="24"/>
          <w:szCs w:val="24"/>
        </w:rPr>
        <w:tab/>
        <w:tab/>
        <w:tab/>
        <w:tab/>
        <w:tab/>
        <w:tab/>
        <w:tab/>
        <w:t>)</w:t>
      </w:r>
    </w:p>
    <w:p>
      <w:pPr>
        <w:pStyle w:val="Normal"/>
        <w:widowControl/>
        <w:rPr>
          <w:sz w:val="24"/>
          <w:szCs w:val="24"/>
        </w:rPr>
      </w:pPr>
      <w:r>
        <w:rPr>
          <w:sz w:val="24"/>
          <w:szCs w:val="24"/>
        </w:rPr>
        <w:t>California Electricity Oversight Board</w:t>
        <w:tab/>
        <w:tab/>
        <w:t>)</w:t>
      </w:r>
    </w:p>
    <w:p>
      <w:pPr>
        <w:pStyle w:val="Normal"/>
        <w:widowControl/>
        <w:rPr>
          <w:sz w:val="24"/>
          <w:szCs w:val="24"/>
        </w:rPr>
      </w:pPr>
      <w:r>
        <w:rPr>
          <w:sz w:val="24"/>
          <w:szCs w:val="24"/>
        </w:rPr>
        <w:tab/>
        <w:tab/>
        <w:tab/>
        <w:tab/>
        <w:tab/>
        <w:tab/>
        <w:tab/>
        <w:t>)</w:t>
      </w:r>
    </w:p>
    <w:p>
      <w:pPr>
        <w:pStyle w:val="Normal"/>
        <w:widowControl/>
        <w:rPr>
          <w:sz w:val="24"/>
          <w:szCs w:val="24"/>
        </w:rPr>
      </w:pPr>
      <w:r>
        <w:rPr>
          <w:sz w:val="24"/>
          <w:szCs w:val="24"/>
        </w:rPr>
        <w:tab/>
        <w:tab/>
        <w:t>v.</w:t>
        <w:tab/>
        <w:tab/>
        <w:tab/>
        <w:tab/>
        <w:tab/>
        <w:t>)</w:t>
        <w:tab/>
        <w:tab/>
        <w:tab/>
        <w:t>EL00-104-000</w:t>
      </w:r>
    </w:p>
    <w:p>
      <w:pPr>
        <w:pStyle w:val="Normal"/>
        <w:widowControl/>
        <w:rPr>
          <w:sz w:val="24"/>
          <w:szCs w:val="24"/>
        </w:rPr>
      </w:pPr>
      <w:r>
        <w:rPr>
          <w:sz w:val="24"/>
          <w:szCs w:val="24"/>
        </w:rPr>
        <w:tab/>
        <w:tab/>
        <w:tab/>
        <w:tab/>
        <w:tab/>
        <w:tab/>
        <w:tab/>
        <w:t>)</w:t>
        <w:tab/>
        <w:tab/>
        <w:tab/>
        <w:t>(Not Consolidated)</w:t>
      </w:r>
    </w:p>
    <w:p>
      <w:pPr>
        <w:pStyle w:val="Normal"/>
        <w:widowControl/>
        <w:rPr>
          <w:sz w:val="24"/>
          <w:szCs w:val="24"/>
        </w:rPr>
      </w:pPr>
      <w:r>
        <w:rPr>
          <w:sz w:val="24"/>
          <w:szCs w:val="24"/>
        </w:rPr>
        <w:t>All Sellers of Energy and Ancillary Services Into</w:t>
        <w:tab/>
        <w:t>)</w:t>
      </w:r>
    </w:p>
    <w:p>
      <w:pPr>
        <w:pStyle w:val="Normal"/>
        <w:widowControl/>
        <w:rPr>
          <w:sz w:val="24"/>
          <w:szCs w:val="24"/>
        </w:rPr>
      </w:pPr>
      <w:r>
        <w:rPr>
          <w:sz w:val="24"/>
          <w:szCs w:val="24"/>
        </w:rPr>
        <w:t xml:space="preserve">The Energy and Ancillary Services Markets </w:t>
        <w:tab/>
        <w:tab/>
        <w:t>)</w:t>
      </w:r>
    </w:p>
    <w:p>
      <w:pPr>
        <w:pStyle w:val="Normal"/>
        <w:widowControl/>
        <w:rPr>
          <w:sz w:val="24"/>
          <w:szCs w:val="24"/>
        </w:rPr>
      </w:pPr>
      <w:r>
        <w:rPr>
          <w:sz w:val="24"/>
          <w:szCs w:val="24"/>
        </w:rPr>
        <w:t>Operated by the California Independent</w:t>
        <w:tab/>
        <w:tab/>
        <w:t>)</w:t>
      </w:r>
    </w:p>
    <w:p>
      <w:pPr>
        <w:pStyle w:val="Normal"/>
        <w:widowControl/>
        <w:rPr>
          <w:sz w:val="24"/>
          <w:szCs w:val="24"/>
        </w:rPr>
      </w:pPr>
      <w:r>
        <w:rPr>
          <w:sz w:val="24"/>
          <w:szCs w:val="24"/>
        </w:rPr>
        <w:t xml:space="preserve">System Operator and the California Power </w:t>
        <w:tab/>
        <w:tab/>
        <w:t>)</w:t>
      </w:r>
    </w:p>
    <w:p>
      <w:pPr>
        <w:pStyle w:val="Normal"/>
        <w:widowControl/>
        <w:rPr>
          <w:sz w:val="24"/>
          <w:szCs w:val="24"/>
        </w:rPr>
      </w:pPr>
      <w:r>
        <w:rPr>
          <w:sz w:val="24"/>
          <w:szCs w:val="24"/>
        </w:rPr>
        <w:t>Exchange.</w:t>
        <w:tab/>
        <w:tab/>
        <w:tab/>
        <w:tab/>
        <w:tab/>
        <w:tab/>
        <w:t>)</w:t>
      </w:r>
    </w:p>
    <w:p>
      <w:pPr>
        <w:pStyle w:val="Normal"/>
        <w:widowControl/>
        <w:rPr>
          <w:sz w:val="24"/>
          <w:szCs w:val="24"/>
        </w:rPr>
      </w:pPr>
      <w:r>
        <w:rPr>
          <w:sz w:val="24"/>
          <w:szCs w:val="24"/>
        </w:rPr>
        <w:t>__________________________________________)</w:t>
      </w:r>
    </w:p>
    <w:p>
      <w:pPr>
        <w:pStyle w:val="Normal"/>
        <w:widowControl/>
        <w:ind w:firstLine="720" w:start="4320" w:end="0"/>
        <w:rPr>
          <w:sz w:val="24"/>
          <w:szCs w:val="24"/>
        </w:rPr>
      </w:pPr>
      <w:r>
        <w:rPr>
          <w:sz w:val="24"/>
          <w:szCs w:val="24"/>
        </w:rPr>
        <w:t>)</w:t>
      </w:r>
    </w:p>
    <w:p>
      <w:pPr>
        <w:pStyle w:val="Normal"/>
        <w:widowControl/>
        <w:rPr>
          <w:sz w:val="24"/>
          <w:szCs w:val="24"/>
        </w:rPr>
      </w:pPr>
      <w:r>
        <w:rPr>
          <w:sz w:val="24"/>
          <w:szCs w:val="24"/>
        </w:rPr>
        <w:t>FERC Investigation</w:t>
        <w:tab/>
        <w:tab/>
        <w:tab/>
        <w:tab/>
        <w:tab/>
        <w:t>)</w:t>
        <w:tab/>
        <w:tab/>
        <w:tab/>
        <w:t>EL00-107-000</w:t>
      </w:r>
    </w:p>
    <w:p>
      <w:pPr>
        <w:pStyle w:val="Normal"/>
        <w:widowControl/>
        <w:rPr>
          <w:sz w:val="24"/>
          <w:szCs w:val="24"/>
        </w:rPr>
      </w:pPr>
      <w:r>
        <w:rPr>
          <w:sz w:val="24"/>
          <w:szCs w:val="24"/>
        </w:rPr>
        <w:t>__________________________________________)</w:t>
        <w:tab/>
        <w:tab/>
        <w:tab/>
        <w:t>(Not Consolidated)</w:t>
      </w:r>
    </w:p>
    <w:p>
      <w:pPr>
        <w:pStyle w:val="Normal"/>
        <w:widowControl/>
        <w:ind w:start="90" w:end="0"/>
        <w:rPr>
          <w:sz w:val="24"/>
          <w:szCs w:val="24"/>
        </w:rPr>
      </w:pPr>
      <w:r>
        <w:rPr>
          <w:sz w:val="24"/>
          <w:szCs w:val="24"/>
        </w:rPr>
      </w:r>
    </w:p>
    <w:p>
      <w:pPr>
        <w:pStyle w:val="Normal"/>
        <w:widowControl/>
        <w:rPr>
          <w:sz w:val="24"/>
          <w:szCs w:val="24"/>
        </w:rPr>
      </w:pPr>
      <w:r>
        <w:rPr>
          <w:sz w:val="24"/>
          <w:szCs w:val="24"/>
        </w:rPr>
      </w:r>
    </w:p>
    <w:p>
      <w:pPr>
        <w:pStyle w:val="Normal"/>
        <w:widowControl/>
        <w:jc w:val="center"/>
        <w:rPr/>
      </w:pPr>
      <w:r>
        <w:rPr>
          <w:b/>
          <w:bCs/>
          <w:sz w:val="24"/>
          <w:szCs w:val="24"/>
        </w:rPr>
        <w:t xml:space="preserve">COMMENTS OF THE WESTERN POWER TRADING FORUM </w:t>
      </w:r>
      <w:r>
        <w:rPr>
          <w:b/>
          <w:bCs/>
          <w:caps/>
          <w:sz w:val="24"/>
          <w:szCs w:val="24"/>
        </w:rPr>
        <w:t xml:space="preserve">IN OPPOSITION TO THE </w:t>
      </w:r>
      <w:r>
        <w:rPr>
          <w:b/>
          <w:bCs/>
          <w:sz w:val="24"/>
          <w:szCs w:val="24"/>
        </w:rPr>
        <w:t>JOINT MOTION FOR EMERGENCY RELIEF FILED BY PACIFIC GAS</w:t>
      </w:r>
    </w:p>
    <w:p>
      <w:pPr>
        <w:pStyle w:val="Normal"/>
        <w:widowControl/>
        <w:jc w:val="center"/>
        <w:rPr>
          <w:b/>
          <w:bCs/>
          <w:sz w:val="24"/>
          <w:szCs w:val="24"/>
        </w:rPr>
      </w:pPr>
      <w:r>
        <w:rPr>
          <w:b/>
          <w:bCs/>
          <w:sz w:val="24"/>
          <w:szCs w:val="24"/>
        </w:rPr>
        <w:t>AND ELECTRIC COMPANY, SOUTHERN CALIFORNIA EDISON</w:t>
      </w:r>
    </w:p>
    <w:p>
      <w:pPr>
        <w:pStyle w:val="Normal"/>
        <w:widowControl/>
        <w:jc w:val="center"/>
        <w:rPr>
          <w:b/>
          <w:bCs/>
          <w:sz w:val="24"/>
          <w:szCs w:val="24"/>
          <w:u w:val="single"/>
        </w:rPr>
      </w:pPr>
      <w:r>
        <w:rPr>
          <w:b/>
          <w:bCs/>
          <w:sz w:val="24"/>
          <w:szCs w:val="24"/>
        </w:rPr>
        <w:t>COMPANY AND THE UTILITY REFORM NETWORK</w:t>
      </w:r>
    </w:p>
    <w:p>
      <w:pPr>
        <w:pStyle w:val="Normal"/>
        <w:widowControl/>
        <w:jc w:val="center"/>
        <w:rPr>
          <w:b/>
          <w:bCs/>
          <w:sz w:val="24"/>
          <w:szCs w:val="24"/>
          <w:u w:val="single"/>
        </w:rPr>
      </w:pPr>
      <w:r>
        <w:rPr>
          <w:b/>
          <w:bCs/>
          <w:sz w:val="24"/>
          <w:szCs w:val="24"/>
          <w:u w:val="single"/>
        </w:rPr>
      </w:r>
    </w:p>
    <w:p>
      <w:pPr>
        <w:pStyle w:val="BodyTextStyle"/>
        <w:widowControl/>
        <w:spacing w:lineRule="auto" w:line="480"/>
        <w:ind w:firstLine="72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The Western Power Trading Forum (“WPTF”) hereby files its comments in opposition to the Joint Motion for Emergency Relief and Further Proceedings filed by Pacific Gas &amp; Electric Company (“PG&amp;E”), Southern California Edison Company (“Edison”) and The Utility Reform Network (“TURN”) (collectively referred to herein as the “Movants”) on October 16, 2000.  The Joint Motion seeks (a) an immediate determination by the Commission that the California markets are not workably competitive; (b) imposition of a $100/MWh price cap; (c) a requirement that California generators that are subject to a Participating Generator agreement provide cost-of-service information; and (d) institution of expedited procedures to adopt comprehensive fixes to the California markets, including establishment of refund responsibilities.  WPTF has previously intervened in these dockets and, urges the Commission to deny the relief sought in the Joint Motion.</w:t>
      </w:r>
    </w:p>
    <w:p>
      <w:pPr>
        <w:pStyle w:val="BodyTextStyle"/>
        <w:widowControl/>
        <w:spacing w:lineRule="auto" w:line="480"/>
        <w:ind w:firstLine="720" w:end="0"/>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BodyTextStyle"/>
        <w:widowControl/>
        <w:spacing w:lineRule="auto" w:line="480"/>
        <w:ind w:hanging="0" w:end="0"/>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t>I.</w:t>
        <w:tab/>
        <w:t>INTRODUCTION</w:t>
      </w:r>
    </w:p>
    <w:p>
      <w:pPr>
        <w:pStyle w:val="standard"/>
        <w:spacing w:lineRule="auto" w:line="48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w:t>
      </w:r>
    </w:p>
    <w:p>
      <w:pPr>
        <w:pStyle w:val="standard"/>
        <w:widowControl/>
        <w:spacing w:lineRule="auto" w:line="48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The WPTF provides a voice through which members can influence the development of market structures throughout the region.  The membership of WPTF includes energy service providers, scheduling coordinators, generators and power exchanges, all of which are active participants in the restructured California electricity market.  WPTF has a vital interest in the development of a competitive electric market and in the reduction of barriers that may exist in the very structure of new markets.  Therefore, WPTF has a material interest in the proposals made in the Joint Motion.</w:t>
      </w:r>
    </w:p>
    <w:p>
      <w:pPr>
        <w:pStyle w:val="BodyTextStyle"/>
        <w:widowControl/>
        <w:tabs>
          <w:tab w:val="clear" w:pos="720"/>
          <w:tab w:val="left" w:pos="990" w:leader="none"/>
        </w:tabs>
        <w:spacing w:lineRule="auto" w:line="480"/>
        <w:ind w:hanging="0" w:end="0"/>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BodyTextStyle"/>
        <w:widowControl/>
        <w:tabs>
          <w:tab w:val="left" w:pos="720" w:leader="none"/>
          <w:tab w:val="left" w:pos="990" w:leader="none"/>
        </w:tabs>
        <w:spacing w:lineRule="auto" w:line="480"/>
        <w:ind w:hanging="0" w:end="0"/>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rPr>
        <w:t xml:space="preserve">II.  </w:t>
      </w:r>
      <w:r>
        <w:rPr>
          <w:rFonts w:eastAsia="Times New Roman;Times New Roman" w:cs="Times New Roman;Times New Roman" w:ascii="Times New Roman;Times New Roman" w:hAnsi="Times New Roman;Times New Roman"/>
          <w:b/>
          <w:bCs/>
          <w:u w:val="single"/>
        </w:rPr>
        <w:t>ANALYSIS</w:t>
      </w:r>
    </w:p>
    <w:p>
      <w:pPr>
        <w:pStyle w:val="BodyTextStyle"/>
        <w:widowControl/>
        <w:tabs>
          <w:tab w:val="left" w:pos="720" w:leader="none"/>
          <w:tab w:val="left" w:pos="990" w:leader="none"/>
        </w:tabs>
        <w:spacing w:lineRule="auto" w:line="480"/>
        <w:ind w:firstLine="720" w:end="0"/>
        <w:jc w:val="both"/>
        <w:rPr/>
      </w:pPr>
      <w:r>
        <w:rPr>
          <w:rFonts w:eastAsia="Times New Roman;Times New Roman" w:cs="Times New Roman;Times New Roman" w:ascii="Times New Roman;Times New Roman" w:hAnsi="Times New Roman;Times New Roman"/>
        </w:rPr>
        <w:t xml:space="preserve">At the heart of the Joint Motion is the claim by the Movants that Edison and PG&amp;E have incurred costs in excess of their revenues.  The utility Movants are in effect asking the Commission to relieve them of the consequences of the utilities having taken an uncovered short position in the market during the past summer. </w:t>
      </w:r>
      <w:r>
        <w:rPr>
          <w:rStyle w:val="FootnoteCharacters"/>
          <w:rStyle w:val="FootnoteReference"/>
          <w:rFonts w:eastAsia="Times New Roman;Times New Roman" w:cs="Times New Roman;Times New Roman" w:ascii="Times New Roman;Times New Roman" w:hAnsi="Times New Roman;Times New Roman"/>
          <w:sz w:val="24"/>
          <w:szCs w:val="24"/>
        </w:rPr>
        <w:footnoteReference w:id="2"/>
      </w:r>
      <w:r>
        <w:rPr>
          <w:rFonts w:eastAsia="Times New Roman;Times New Roman" w:cs="Times New Roman;Times New Roman" w:ascii="Times New Roman;Times New Roman" w:hAnsi="Times New Roman;Times New Roman"/>
        </w:rPr>
        <w:t xml:space="preserve">  While this may have been a poor decision on their part, it is certainly not a result of a “broken” wholesale market.  There are numerous problems with the California power market, including the failure of the Legislature and the California Public Utilities Commission (“CPUC”) to effectively open the retail market to competition; however, none of these problems will be remedied by the imposition of price caps..  </w:t>
      </w:r>
    </w:p>
    <w:p>
      <w:pPr>
        <w:pStyle w:val="BodyTextStyle"/>
        <w:widowControl/>
        <w:tabs>
          <w:tab w:val="left" w:pos="720" w:leader="none"/>
          <w:tab w:val="left" w:pos="990" w:leader="none"/>
        </w:tabs>
        <w:spacing w:lineRule="auto" w:line="480"/>
        <w:ind w:firstLine="72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Furthermore, the California Power Exchange (“PX”) has created several new forward market opportunities that have not been fully utilized by market participants.  The market will work if the market participants use more fully the forward market mechanisms which are available to them.  If these opportunities are not fully utilized, parties remain subject to spot prices, which in any market are much more volatile than prices in the forward markets.</w:t>
      </w:r>
    </w:p>
    <w:p>
      <w:pPr>
        <w:pStyle w:val="BodyTextStyle"/>
        <w:widowControl/>
        <w:tabs>
          <w:tab w:val="left" w:pos="720" w:leader="none"/>
          <w:tab w:val="left" w:pos="990" w:leader="none"/>
        </w:tabs>
        <w:spacing w:lineRule="auto" w:line="480"/>
        <w:ind w:firstLine="72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Abandoning a competitive wholesale market and returning to “cost-based rates” because the retail market has not been sufficiently reformed is most definitely the wrong answer.</w:t>
      </w:r>
    </w:p>
    <w:p>
      <w:pPr>
        <w:pStyle w:val="Normal"/>
        <w:widowControl/>
        <w:spacing w:lineRule="auto" w:line="480"/>
        <w:jc w:val="both"/>
        <w:rPr>
          <w:sz w:val="24"/>
          <w:szCs w:val="24"/>
        </w:rPr>
      </w:pPr>
      <w:r>
        <w:rPr>
          <w:sz w:val="24"/>
          <w:szCs w:val="24"/>
        </w:rPr>
        <w:tab/>
      </w:r>
      <w:r>
        <w:br w:type="page"/>
      </w:r>
    </w:p>
    <w:p>
      <w:pPr>
        <w:pStyle w:val="Normal"/>
        <w:widowControl/>
        <w:spacing w:lineRule="auto" w:line="480"/>
        <w:jc w:val="both"/>
        <w:rPr>
          <w:sz w:val="24"/>
          <w:szCs w:val="24"/>
        </w:rPr>
      </w:pPr>
      <w:r>
        <w:rPr>
          <w:sz w:val="24"/>
          <w:szCs w:val="24"/>
        </w:rPr>
        <w:t>WPTF’s response to the Joint Motion makes the following observations:</w:t>
      </w:r>
    </w:p>
    <w:p>
      <w:pPr>
        <w:pStyle w:val="Normal"/>
        <w:widowControl/>
        <w:numPr>
          <w:ilvl w:val="0"/>
          <w:numId w:val="2"/>
        </w:numPr>
        <w:tabs>
          <w:tab w:val="clear" w:pos="720"/>
          <w:tab w:val="left" w:pos="0" w:leader="none"/>
        </w:tabs>
        <w:spacing w:lineRule="auto" w:line="480"/>
        <w:ind w:hanging="720" w:start="1440" w:end="0"/>
        <w:jc w:val="both"/>
        <w:rPr>
          <w:sz w:val="24"/>
          <w:szCs w:val="24"/>
        </w:rPr>
      </w:pPr>
      <w:r>
        <w:rPr>
          <w:sz w:val="24"/>
          <w:szCs w:val="24"/>
        </w:rPr>
        <w:t>Movants have over-stated the problem.</w:t>
      </w:r>
    </w:p>
    <w:p>
      <w:pPr>
        <w:pStyle w:val="Normal"/>
        <w:widowControl/>
        <w:numPr>
          <w:ilvl w:val="0"/>
          <w:numId w:val="2"/>
        </w:numPr>
        <w:tabs>
          <w:tab w:val="clear" w:pos="720"/>
          <w:tab w:val="left" w:pos="0" w:leader="none"/>
        </w:tabs>
        <w:ind w:hanging="720" w:start="1440" w:end="0"/>
        <w:jc w:val="both"/>
        <w:rPr>
          <w:sz w:val="24"/>
          <w:szCs w:val="24"/>
        </w:rPr>
      </w:pPr>
      <w:r>
        <w:rPr>
          <w:sz w:val="24"/>
          <w:szCs w:val="24"/>
        </w:rPr>
        <w:t>Wholesale market prices in California are not unreasonable.</w:t>
      </w:r>
    </w:p>
    <w:p>
      <w:pPr>
        <w:pStyle w:val="Normal"/>
        <w:widowControl/>
        <w:numPr>
          <w:ilvl w:val="0"/>
          <w:numId w:val="0"/>
        </w:numPr>
        <w:tabs>
          <w:tab w:val="clear" w:pos="720"/>
          <w:tab w:val="left" w:pos="360" w:leader="none"/>
        </w:tabs>
        <w:ind w:hanging="0" w:start="1080" w:end="0"/>
        <w:jc w:val="both"/>
        <w:rPr>
          <w:sz w:val="24"/>
          <w:szCs w:val="24"/>
        </w:rPr>
      </w:pPr>
      <w:r>
        <w:rPr>
          <w:sz w:val="24"/>
          <w:szCs w:val="24"/>
        </w:rPr>
      </w:r>
    </w:p>
    <w:p>
      <w:pPr>
        <w:pStyle w:val="Normal"/>
        <w:widowControl/>
        <w:numPr>
          <w:ilvl w:val="0"/>
          <w:numId w:val="2"/>
        </w:numPr>
        <w:tabs>
          <w:tab w:val="clear" w:pos="720"/>
          <w:tab w:val="left" w:pos="0" w:leader="none"/>
        </w:tabs>
        <w:spacing w:lineRule="auto" w:line="480"/>
        <w:ind w:hanging="720" w:start="1440" w:end="0"/>
        <w:jc w:val="both"/>
        <w:rPr>
          <w:sz w:val="24"/>
          <w:szCs w:val="24"/>
        </w:rPr>
      </w:pPr>
      <w:r>
        <w:rPr>
          <w:sz w:val="24"/>
          <w:szCs w:val="24"/>
        </w:rPr>
        <w:t>The basic problems are with the retail market structure and CPUC rules, and are not FERC problems at all.</w:t>
      </w:r>
    </w:p>
    <w:p>
      <w:pPr>
        <w:pStyle w:val="Normal"/>
        <w:widowControl/>
        <w:numPr>
          <w:ilvl w:val="0"/>
          <w:numId w:val="2"/>
        </w:numPr>
        <w:tabs>
          <w:tab w:val="clear" w:pos="720"/>
          <w:tab w:val="left" w:pos="0" w:leader="none"/>
        </w:tabs>
        <w:spacing w:lineRule="auto" w:line="480"/>
        <w:ind w:hanging="720" w:start="1440" w:end="0"/>
        <w:jc w:val="both"/>
        <w:rPr>
          <w:sz w:val="24"/>
          <w:szCs w:val="24"/>
        </w:rPr>
      </w:pPr>
      <w:r>
        <w:rPr>
          <w:sz w:val="24"/>
          <w:szCs w:val="24"/>
        </w:rPr>
        <w:t>The proposed price cap will only exacerbate the problem in both the long and short terms.</w:t>
      </w:r>
    </w:p>
    <w:p>
      <w:pPr>
        <w:pStyle w:val="Normal"/>
        <w:widowControl/>
        <w:numPr>
          <w:ilvl w:val="0"/>
          <w:numId w:val="2"/>
        </w:numPr>
        <w:tabs>
          <w:tab w:val="clear" w:pos="720"/>
          <w:tab w:val="left" w:pos="0" w:leader="none"/>
        </w:tabs>
        <w:spacing w:lineRule="auto" w:line="480"/>
        <w:ind w:hanging="720" w:start="1440" w:end="0"/>
        <w:jc w:val="both"/>
        <w:rPr>
          <w:sz w:val="24"/>
          <w:szCs w:val="24"/>
        </w:rPr>
      </w:pPr>
      <w:r>
        <w:rPr>
          <w:sz w:val="24"/>
          <w:szCs w:val="24"/>
        </w:rPr>
        <w:t xml:space="preserve">Cost-based prices are the problem not the solution. With FERC guidance, the market can continue to  work and flourish. </w:t>
      </w:r>
    </w:p>
    <w:p>
      <w:pPr>
        <w:pStyle w:val="Normal"/>
        <w:widowControl/>
        <w:numPr>
          <w:ilvl w:val="0"/>
          <w:numId w:val="2"/>
        </w:numPr>
        <w:tabs>
          <w:tab w:val="clear" w:pos="720"/>
          <w:tab w:val="left" w:pos="0" w:leader="none"/>
        </w:tabs>
        <w:ind w:hanging="360" w:start="1440" w:end="0"/>
        <w:jc w:val="both"/>
        <w:rPr>
          <w:sz w:val="24"/>
          <w:szCs w:val="24"/>
        </w:rPr>
      </w:pPr>
      <w:r>
        <w:rPr>
          <w:sz w:val="24"/>
          <w:szCs w:val="24"/>
        </w:rPr>
        <w:t>Market mechanisms are working and will resolve the problem.</w:t>
      </w:r>
    </w:p>
    <w:p>
      <w:pPr>
        <w:pStyle w:val="Normal"/>
        <w:widowControl/>
        <w:spacing w:lineRule="auto" w:line="360"/>
        <w:jc w:val="both"/>
        <w:rPr>
          <w:sz w:val="24"/>
          <w:szCs w:val="24"/>
        </w:rPr>
      </w:pPr>
      <w:r>
        <w:rPr>
          <w:sz w:val="24"/>
          <w:szCs w:val="24"/>
        </w:rPr>
      </w:r>
    </w:p>
    <w:p>
      <w:pPr>
        <w:pStyle w:val="Normal"/>
        <w:widowControl/>
        <w:spacing w:lineRule="auto" w:line="360"/>
        <w:jc w:val="both"/>
        <w:rPr>
          <w:b/>
          <w:bCs/>
          <w:sz w:val="24"/>
          <w:szCs w:val="24"/>
        </w:rPr>
      </w:pPr>
      <w:r>
        <w:rPr>
          <w:b/>
          <w:bCs/>
          <w:sz w:val="24"/>
          <w:szCs w:val="24"/>
        </w:rPr>
        <w:t xml:space="preserve">A.  </w:t>
      </w:r>
      <w:r>
        <w:rPr>
          <w:b/>
          <w:bCs/>
          <w:sz w:val="24"/>
          <w:szCs w:val="24"/>
          <w:u w:val="single"/>
        </w:rPr>
        <w:t>The problem is over-stated.</w:t>
      </w:r>
    </w:p>
    <w:p>
      <w:pPr>
        <w:pStyle w:val="Normal"/>
        <w:widowControl/>
        <w:spacing w:lineRule="auto" w:line="480"/>
        <w:ind w:firstLine="720" w:end="0"/>
        <w:jc w:val="both"/>
        <w:rPr>
          <w:sz w:val="24"/>
          <w:szCs w:val="24"/>
        </w:rPr>
      </w:pPr>
      <w:r>
        <w:rPr>
          <w:sz w:val="24"/>
          <w:szCs w:val="24"/>
        </w:rPr>
        <w:t xml:space="preserve">According to the Joint Motion, the “failure of California’s wholesale electricity markets to produce just and reasonable prices has imposed enormous costs on the citizens and businesses of California and threatens the economic health of the entire State.”  This claim is exaggerated, is reckless, and has not been adequately documented by the Movants.  While WPTF agrees that spot market electricity prices in California are significantly higher than in recent years, we see no signs of impending disaster to California’s economy or even to the financial health of PG&amp;E or Edison. </w:t>
      </w:r>
    </w:p>
    <w:p>
      <w:pPr>
        <w:pStyle w:val="Normal"/>
        <w:widowControl/>
        <w:spacing w:lineRule="auto" w:line="480"/>
        <w:ind w:firstLine="720" w:end="0"/>
        <w:jc w:val="both"/>
        <w:rPr/>
      </w:pPr>
      <w:r>
        <w:rPr>
          <w:sz w:val="24"/>
          <w:szCs w:val="24"/>
        </w:rPr>
        <w:t xml:space="preserve">Under the terms of the rate freeze, a rate structure was implemented to allow the utilities to accelerate recovery of their stranded generation costs.  Retail rates were totally disconnected from wholesale prices. </w:t>
      </w:r>
      <w:r>
        <w:rPr>
          <w:rStyle w:val="FootnoteCharacters"/>
          <w:rStyle w:val="FootnoteReference"/>
          <w:sz w:val="24"/>
          <w:szCs w:val="24"/>
        </w:rPr>
        <w:footnoteReference w:id="3"/>
      </w:r>
      <w:r>
        <w:rPr>
          <w:sz w:val="24"/>
          <w:szCs w:val="24"/>
        </w:rPr>
        <w:t xml:space="preserve">  Therefore, customers of Edison and PG&amp;E have not experienced any higher rates and have certainly not experienced any “enormous costs” as a result of spot market price fluctuations. </w:t>
      </w:r>
      <w:r>
        <w:rPr>
          <w:rStyle w:val="FootnoteCharacters"/>
          <w:rStyle w:val="FootnoteReference"/>
          <w:sz w:val="24"/>
          <w:szCs w:val="24"/>
        </w:rPr>
        <w:footnoteReference w:id="4"/>
      </w:r>
      <w:r>
        <w:rPr>
          <w:sz w:val="24"/>
          <w:szCs w:val="24"/>
        </w:rPr>
        <w:t xml:space="preserve">  Even the “massive and rapid escalation in PG&amp;E’s and Edison’s uncollected wholesale power costs” [see p. 6 of Joint Motion] does not appear to have been of major concern to either company’s investors. </w:t>
      </w:r>
      <w:r>
        <w:rPr>
          <w:rStyle w:val="FootnoteCharacters"/>
          <w:rStyle w:val="FootnoteReference"/>
          <w:sz w:val="24"/>
          <w:szCs w:val="24"/>
        </w:rPr>
        <w:footnoteReference w:id="5"/>
      </w:r>
      <w:r>
        <w:rPr>
          <w:sz w:val="24"/>
          <w:szCs w:val="24"/>
        </w:rPr>
        <w:t xml:space="preserve">  </w:t>
      </w:r>
    </w:p>
    <w:p>
      <w:pPr>
        <w:pStyle w:val="Normal"/>
        <w:widowControl/>
        <w:spacing w:lineRule="auto" w:line="480"/>
        <w:ind w:firstLine="720" w:end="0"/>
        <w:jc w:val="both"/>
        <w:rPr/>
      </w:pPr>
      <w:r>
        <w:rPr>
          <w:sz w:val="24"/>
          <w:szCs w:val="24"/>
        </w:rPr>
        <w:t>The Movants do note [see footnote 5, page 6] that some of this cost is offset by revenues received from sales of generation that they own or control, yet they conveniently fail to discuss the magnitude of this offset in the Joint Motion.  Nor do they discuss the availability of funds collected through stranded cost recovery to offset procurement undercollections.  However, in the appeal by PG&amp;E to the California Supreme Court challenging a previous determination by the CPUC prohibiting PG&amp;E from carrying over costs incurred during the rate freeze period for collection after the rate freeze,</w:t>
      </w:r>
      <w:r>
        <w:rPr>
          <w:rStyle w:val="FootnoteCharacters"/>
          <w:rStyle w:val="FootnoteReference"/>
        </w:rPr>
        <w:footnoteReference w:id="6"/>
      </w:r>
      <w:r>
        <w:rPr>
          <w:sz w:val="24"/>
          <w:szCs w:val="24"/>
        </w:rPr>
        <w:t xml:space="preserve"> TURN has pointed out that much of the under-collection can be simply resolved through accounting mechanisms.</w:t>
      </w:r>
      <w:r>
        <w:rPr/>
        <w:t xml:space="preserve"> </w:t>
      </w:r>
      <w:r>
        <w:rPr>
          <w:sz w:val="24"/>
          <w:szCs w:val="24"/>
        </w:rPr>
        <w:t>“Thus the Court should recognize that the $6.83 billion of transition cost recovery recorded through May 31, 2000 serves as the source for PG&amp;E to recoup any current undercollection of procurement costs.  The net effect would be recorded transition cost recovery of $4.63 billion, even without considering the additional transition cost recovery achieved from May 31, 2000 through August 31, 2000.”</w:t>
      </w:r>
      <w:r>
        <w:rPr/>
        <w:t xml:space="preserve"> </w:t>
      </w:r>
      <w:r>
        <w:rPr>
          <w:rStyle w:val="FootnoteCharacters"/>
          <w:rStyle w:val="FootnoteReference"/>
        </w:rPr>
        <w:footnoteReference w:id="7"/>
      </w:r>
      <w:r>
        <w:rPr/>
        <w:t xml:space="preserve">  </w:t>
      </w:r>
    </w:p>
    <w:p>
      <w:pPr>
        <w:pStyle w:val="Normal"/>
        <w:widowControl/>
        <w:spacing w:lineRule="auto" w:line="480"/>
        <w:ind w:firstLine="720" w:end="0"/>
        <w:jc w:val="both"/>
        <w:rPr>
          <w:sz w:val="24"/>
          <w:szCs w:val="24"/>
        </w:rPr>
      </w:pPr>
      <w:r>
        <w:rPr>
          <w:sz w:val="24"/>
          <w:szCs w:val="24"/>
        </w:rPr>
        <w:t>Moreover, this is clearly the approach which is being examined by the CPUC, as was indicated in the October 27, 2000, prehearing conference held by the CPUC in response to the October 4, 2000, petitions for modification filed by Edison and PG&amp;E.  The utility petitions were another attempt to overturn previous CPUC decisions which prohibited the utilities from carrying over costs incurred during the rate freeze for collection at a later time.  The following is an exchange between counsel for Edison and the administrative law judge in the proceeding:</w:t>
      </w:r>
    </w:p>
    <w:p>
      <w:pPr>
        <w:pStyle w:val="Normal"/>
        <w:widowControl/>
        <w:ind w:start="720" w:end="720"/>
        <w:jc w:val="both"/>
        <w:rPr>
          <w:sz w:val="24"/>
          <w:szCs w:val="24"/>
        </w:rPr>
      </w:pPr>
      <w:r>
        <w:rPr>
          <w:sz w:val="24"/>
          <w:szCs w:val="24"/>
        </w:rPr>
        <w:t xml:space="preserve">MR. PICKETT:  Your Honor, I just wanted clarification, if I may.  Does this mean that the Commission does not intend to address the question of whether the post-transition ratemaking decision should be modified to permit carryover of the TRA costs?  </w:t>
      </w:r>
    </w:p>
    <w:p>
      <w:pPr>
        <w:pStyle w:val="Normal"/>
        <w:widowControl/>
        <w:ind w:start="720" w:end="720"/>
        <w:jc w:val="both"/>
        <w:rPr>
          <w:sz w:val="24"/>
          <w:szCs w:val="24"/>
        </w:rPr>
      </w:pPr>
      <w:r>
        <w:rPr>
          <w:sz w:val="24"/>
          <w:szCs w:val="24"/>
        </w:rPr>
      </w:r>
    </w:p>
    <w:p>
      <w:pPr>
        <w:pStyle w:val="Normal"/>
        <w:widowControl/>
        <w:ind w:start="720" w:end="720"/>
        <w:jc w:val="both"/>
        <w:rPr/>
      </w:pPr>
      <w:r>
        <w:rPr>
          <w:sz w:val="24"/>
          <w:szCs w:val="24"/>
        </w:rPr>
        <w:t xml:space="preserve"> </w:t>
      </w:r>
      <w:r>
        <w:rPr>
          <w:sz w:val="24"/>
          <w:szCs w:val="24"/>
        </w:rPr>
        <w:t>ALJ MINKIN:  Not at this time.  At this time we will look at accounting mechanisms that can be used to offset the TRA undercollection.</w:t>
      </w:r>
      <w:r>
        <w:rPr>
          <w:rStyle w:val="FootnoteCharacters"/>
          <w:rStyle w:val="FootnoteReference"/>
        </w:rPr>
        <w:footnoteReference w:id="8"/>
      </w:r>
      <w:r>
        <w:rPr>
          <w:sz w:val="24"/>
          <w:szCs w:val="24"/>
        </w:rPr>
        <w:t xml:space="preserve">  </w:t>
      </w:r>
    </w:p>
    <w:p>
      <w:pPr>
        <w:pStyle w:val="Normal"/>
        <w:widowControl/>
        <w:ind w:start="720" w:end="720"/>
        <w:jc w:val="both"/>
        <w:rPr>
          <w:sz w:val="24"/>
          <w:szCs w:val="24"/>
        </w:rPr>
      </w:pPr>
      <w:r>
        <w:rPr>
          <w:sz w:val="24"/>
          <w:szCs w:val="24"/>
        </w:rPr>
      </w:r>
    </w:p>
    <w:p>
      <w:pPr>
        <w:pStyle w:val="Normal"/>
        <w:widowControl/>
        <w:spacing w:lineRule="auto" w:line="480"/>
        <w:jc w:val="both"/>
        <w:rPr>
          <w:sz w:val="24"/>
          <w:szCs w:val="24"/>
        </w:rPr>
      </w:pPr>
      <w:r>
        <w:rPr>
          <w:sz w:val="24"/>
          <w:szCs w:val="24"/>
        </w:rPr>
        <w:t>The action by the  CPUC and the foregoing exchange indicates that much of the utilities’ claims of impending disaster are misleading and exaggerated.</w:t>
      </w:r>
    </w:p>
    <w:p>
      <w:pPr>
        <w:pStyle w:val="Normal"/>
        <w:widowControl/>
        <w:spacing w:lineRule="auto" w:line="360"/>
        <w:ind w:firstLine="720" w:end="0"/>
        <w:jc w:val="both"/>
        <w:rPr>
          <w:sz w:val="24"/>
          <w:szCs w:val="24"/>
        </w:rPr>
      </w:pPr>
      <w:r>
        <w:rPr>
          <w:sz w:val="24"/>
          <w:szCs w:val="24"/>
        </w:rPr>
      </w:r>
    </w:p>
    <w:p>
      <w:pPr>
        <w:pStyle w:val="Normal"/>
        <w:widowControl/>
        <w:spacing w:lineRule="auto" w:line="360"/>
        <w:jc w:val="both"/>
        <w:rPr/>
      </w:pPr>
      <w:r>
        <w:rPr>
          <w:b/>
          <w:bCs/>
          <w:sz w:val="24"/>
          <w:szCs w:val="24"/>
        </w:rPr>
        <w:t xml:space="preserve">B.  </w:t>
      </w:r>
      <w:r>
        <w:rPr>
          <w:b/>
          <w:bCs/>
          <w:sz w:val="24"/>
          <w:szCs w:val="24"/>
          <w:u w:val="single"/>
        </w:rPr>
        <w:t>Wholesale market prices in California are not unreasonable.</w:t>
      </w:r>
    </w:p>
    <w:p>
      <w:pPr>
        <w:pStyle w:val="Normal"/>
        <w:widowControl/>
        <w:spacing w:lineRule="auto" w:line="480"/>
        <w:ind w:firstLine="720" w:end="0"/>
        <w:jc w:val="both"/>
        <w:rPr/>
      </w:pPr>
      <w:r>
        <w:rPr>
          <w:sz w:val="24"/>
          <w:szCs w:val="24"/>
        </w:rPr>
        <w:t xml:space="preserve">Movants claim that because spot prices are higher than they would like, the market is broken.  As the Commission pointed out in its response to SDG&amp;E’s price cap request, </w:t>
      </w:r>
      <w:r>
        <w:rPr>
          <w:rStyle w:val="FootnoteCharacters"/>
          <w:rStyle w:val="FootnoteReference"/>
        </w:rPr>
        <w:footnoteReference w:id="9"/>
      </w:r>
      <w:r>
        <w:rPr>
          <w:sz w:val="24"/>
          <w:szCs w:val="24"/>
        </w:rPr>
        <w:t xml:space="preserve"> there are many causes which have contributed to the current high prices:</w:t>
      </w:r>
    </w:p>
    <w:p>
      <w:pPr>
        <w:pStyle w:val="Normal"/>
        <w:widowControl/>
        <w:ind w:start="720" w:end="720"/>
        <w:jc w:val="both"/>
        <w:rPr>
          <w:sz w:val="26"/>
          <w:szCs w:val="26"/>
        </w:rPr>
      </w:pPr>
      <w:r>
        <w:rPr>
          <w:sz w:val="24"/>
          <w:szCs w:val="24"/>
        </w:rPr>
        <w:t>We note that a number of factors have interacted to lead to these rate increases, and that many of the factors that contributed to these increases fall within the jurisdiction of state regulators and are not within the jurisdiction of the Commission, including, (1) siting of new generation and transmission facilities, (2) lack of demand-side programs that allow consumers and businesses to receive and respond to price signals, (3) rules under which SDG&amp;E provides retail electric service which limit its actions as a purchaser of wholesale power (</w:t>
      </w:r>
      <w:r>
        <w:rPr>
          <w:sz w:val="24"/>
          <w:szCs w:val="24"/>
          <w:u w:val="single"/>
        </w:rPr>
        <w:t>e</w:t>
      </w:r>
      <w:r>
        <w:rPr>
          <w:sz w:val="24"/>
          <w:szCs w:val="24"/>
        </w:rPr>
        <w:t>.</w:t>
      </w:r>
      <w:r>
        <w:rPr>
          <w:sz w:val="24"/>
          <w:szCs w:val="24"/>
          <w:u w:val="single"/>
        </w:rPr>
        <w:t>g</w:t>
      </w:r>
      <w:r>
        <w:rPr>
          <w:sz w:val="24"/>
          <w:szCs w:val="24"/>
        </w:rPr>
        <w:t>., requirements that SDG&amp;E make all purchases through a single power exchange and restrictions on SDG&amp;E's ability to enter into wholesale supply or risk management agreements that could protect against excessive volatility in wholesale commodity prices), and (4) retail rate designs that do not offer retail customers of SDG&amp;E the option to arrange for stable, levelized rates.  And, of course, the severe weather which has blanketed the West and exacerbated the generation supply shortage that exists in California is beyond the control of any public body.</w:t>
      </w:r>
      <w:r>
        <w:rPr>
          <w:sz w:val="26"/>
          <w:szCs w:val="26"/>
        </w:rPr>
        <w:t xml:space="preserve"> </w:t>
      </w:r>
      <w:r>
        <w:rPr>
          <w:rStyle w:val="FootnoteCharacters"/>
          <w:rStyle w:val="FootnoteReference"/>
        </w:rPr>
        <w:footnoteReference w:id="10"/>
      </w:r>
    </w:p>
    <w:p>
      <w:pPr>
        <w:pStyle w:val="Normal"/>
        <w:widowControl/>
        <w:ind w:start="720" w:end="720"/>
        <w:jc w:val="both"/>
        <w:rPr>
          <w:sz w:val="24"/>
          <w:szCs w:val="24"/>
        </w:rPr>
      </w:pPr>
      <w:r>
        <w:rPr>
          <w:sz w:val="24"/>
          <w:szCs w:val="24"/>
        </w:rPr>
      </w:r>
    </w:p>
    <w:p>
      <w:pPr>
        <w:pStyle w:val="Normal"/>
        <w:widowControl/>
        <w:spacing w:lineRule="auto" w:line="480"/>
        <w:ind w:firstLine="720" w:end="0"/>
        <w:jc w:val="both"/>
        <w:rPr>
          <w:sz w:val="24"/>
          <w:szCs w:val="24"/>
        </w:rPr>
      </w:pPr>
      <w:r>
        <w:rPr>
          <w:sz w:val="24"/>
          <w:szCs w:val="24"/>
        </w:rPr>
        <w:t>Another obvious factor is the price of natural gas, the primary fuel of most of California’s generation on the margin.  Gas prices have more than doubled from last year, creating a significant cost increase for generation.  Other causes have also contributed to the high prices.  For example, the South Coast Air Quality Management District (“SCAQMD”) manages the Los Angeles Basin’s air quality.  The agency has the duty to organize and operate a market for emission credits.  There are about fifteen such air basins in California, that are controlled by 35 air districts, either air pollution control districts or air quality management districts Each one monitors and regulates emissions in different geographical areas of California.  Each district can establish its own rules, subject to Federal guidelines, for determining major sources of pollutants from stationary sources, and how new-source owners/operators can mitigate their contribution to the problem.  SCAQMD established a program, called RECLAIM, which allows trading of NOx credits, just like power marketers trade power.  SCAQMD allows parties to treat pollution credits as a commodity, and let supply and demand allocate the scarcity.  Unlike the other California air quality districts, SCAQMD sets NOx credits at a one-year term.  The mechanism to trade those credits in a market environment is achieved utilizing an instrument called a RECLAIM Trading Credit (RTC).</w:t>
      </w:r>
    </w:p>
    <w:p>
      <w:pPr>
        <w:pStyle w:val="Normal"/>
        <w:widowControl/>
        <w:spacing w:lineRule="auto" w:line="480"/>
        <w:ind w:firstLine="720" w:end="0"/>
        <w:jc w:val="both"/>
        <w:rPr>
          <w:sz w:val="24"/>
          <w:szCs w:val="24"/>
        </w:rPr>
      </w:pPr>
      <w:r>
        <w:rPr>
          <w:sz w:val="24"/>
          <w:szCs w:val="24"/>
        </w:rPr>
        <w:t>The Los Angeles Basin, historically, includes many of the electric generating units that, on average, and for much of the year, are on the margin for the WSCC region.  NOx-credit trading prices directly affect the traded price of power.  No one predicted NOx credits would cost more than their historical average, a dollar or two per pound.  But in the last six months, the value of RTCs has increased from a few dollars per pound to $30/lb., and higher.  This results in a significant variable cost for generators that must purchase RTCs in order to operate, as well as a significant opportunity cost for generators that have RTCs, but would rationally not operate the plants and sell their RTCs in the market for a profit.</w:t>
      </w:r>
    </w:p>
    <w:p>
      <w:pPr>
        <w:pStyle w:val="Normal"/>
        <w:widowControl/>
        <w:spacing w:lineRule="auto" w:line="480"/>
        <w:ind w:firstLine="720" w:end="0"/>
        <w:jc w:val="both"/>
        <w:rPr>
          <w:sz w:val="24"/>
          <w:szCs w:val="24"/>
        </w:rPr>
      </w:pPr>
      <w:r>
        <w:rPr>
          <w:sz w:val="24"/>
          <w:szCs w:val="24"/>
        </w:rPr>
        <w:t>The California ISO noted this impact in its recent Request for Bids (“RFB”) for Summer Peaking Capacity.  The California ISO computed a benchmark cost estimate for a new peaking unit.  The total variable cost was $101/MWh, and the emission component of variable cost was estimated at $43.50/MWh, almost half the total variable cost.</w:t>
      </w:r>
    </w:p>
    <w:p>
      <w:pPr>
        <w:pStyle w:val="Normal"/>
        <w:widowControl/>
        <w:spacing w:lineRule="auto" w:line="480"/>
        <w:ind w:firstLine="720" w:end="0"/>
        <w:jc w:val="both"/>
        <w:rPr>
          <w:sz w:val="24"/>
          <w:szCs w:val="24"/>
        </w:rPr>
      </w:pPr>
      <w:r>
        <w:rPr>
          <w:sz w:val="24"/>
          <w:szCs w:val="24"/>
        </w:rPr>
        <w:t>Emission costs are a huge factor in California electric prices.  The big gaps in cost for emission credits provide an attractive incentive for generators to locate outside of the SCAQMD area.  This was recently demonstrated by the responses to the California ISO’s RFB.  There were a total of 79 bids for 378 generating units and a total of 3,257 MW of new capacity.  Of those, 13 generating units for 131 MW were located in the SCE territory, whereas 341 generating units for 2,360 MW were located in the PG&amp;E service territory.</w:t>
      </w:r>
    </w:p>
    <w:p>
      <w:pPr>
        <w:pStyle w:val="Normal"/>
        <w:widowControl/>
        <w:spacing w:lineRule="auto" w:line="480"/>
        <w:ind w:firstLine="720" w:end="0"/>
        <w:jc w:val="both"/>
        <w:rPr>
          <w:sz w:val="24"/>
          <w:szCs w:val="24"/>
        </w:rPr>
      </w:pPr>
      <w:r>
        <w:rPr>
          <w:sz w:val="24"/>
          <w:szCs w:val="24"/>
        </w:rPr>
      </w:r>
    </w:p>
    <w:p>
      <w:pPr>
        <w:pStyle w:val="BodyText"/>
        <w:widowControl/>
        <w:spacing w:lineRule="auto" w:line="480" w:before="0" w:after="0"/>
        <w:ind w:hanging="0" w:end="0"/>
        <w:jc w:val="both"/>
        <w:rPr/>
      </w:pPr>
      <w:r>
        <w:rPr>
          <w:rFonts w:eastAsia="Times New Roman;Times New Roman" w:cs="Times New Roman;Times New Roman" w:ascii="Times New Roman;Times New Roman" w:hAnsi="Times New Roman;Times New Roman"/>
          <w:b/>
          <w:bCs/>
        </w:rPr>
        <w:t>C.</w:t>
      </w: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b/>
          <w:bCs/>
          <w:u w:val="single"/>
        </w:rPr>
        <w:t>The primary problem is the incomplete and suffocated California retail market.</w:t>
      </w:r>
    </w:p>
    <w:p>
      <w:pPr>
        <w:pStyle w:val="BodyText"/>
        <w:widowControl/>
        <w:spacing w:lineRule="auto" w:line="480" w:before="0" w:after="0"/>
        <w:ind w:firstLine="72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Even the ISO’s Market Surveillance Committee acknowledges that forward purchasing limitations enacted by the CPUC, combined with lack of a vibrant competitive retail market, exacerbate the high prices experienced in the California market.  These deficiencies can and must be fixed at the state level in order for spot prices to self-correct.  The Movants’ request to have this Commission order seller’s price caps and perform cost of service rate analysis is simply an attempt to avoid making the needed changes at the state level.  Whether this is the result of their unwillingness to complete the process of electric restructuring or fear that the California Commission will not allow recovery of excess generation costs is a matter of conjecture.  What is clear is that it is neither necessary nor appropriate for this Commission to take on this problem and “correct it” by frustrating and obstructing the operation of the wholesale market.  WPTF is active in the retail proceedings in California and has and will continue to work with parties to develop a market-based solution that will improve retail competition while providing rate stability for the utilities’ bundled service customers.  We are confident that this can be done without destroying the competitive wholesale market</w:t>
      </w:r>
      <w:r>
        <w:rPr>
          <w:rStyle w:val="CommentReference"/>
          <w:rFonts w:eastAsia="Times New Roman;Times New Roman" w:cs="Times New Roman;Times New Roman" w:ascii="Times New Roman;Times New Roman" w:hAnsi="Times New Roman;Times New Roman"/>
          <w:vanish w:val="false"/>
          <w:color w:val="auto"/>
        </w:rPr>
        <w:commentReference w:id="0"/>
      </w:r>
    </w:p>
    <w:p>
      <w:pPr>
        <w:pStyle w:val="Normal"/>
        <w:widowControl/>
        <w:tabs>
          <w:tab w:val="clear" w:pos="720"/>
          <w:tab w:val="left" w:pos="360" w:leader="none"/>
        </w:tabs>
        <w:ind w:hanging="360" w:start="360" w:end="0"/>
        <w:jc w:val="both"/>
        <w:rPr>
          <w:rFonts w:ascii="Times New Roman;Times New Roman" w:hAnsi="Times New Roman;Times New Roman" w:eastAsia="Times New Roman;Times New Roman" w:cs="Times New Roman;Times New Roman"/>
          <w:b/>
          <w:bCs/>
          <w:sz w:val="24"/>
          <w:szCs w:val="24"/>
        </w:rPr>
      </w:pPr>
      <w:r>
        <w:rPr>
          <w:rFonts w:eastAsia="Times New Roman;Times New Roman" w:cs="Times New Roman;Times New Roman"/>
          <w:b/>
          <w:bCs/>
          <w:sz w:val="24"/>
          <w:szCs w:val="24"/>
        </w:rPr>
      </w:r>
    </w:p>
    <w:p>
      <w:pPr>
        <w:pStyle w:val="Normal"/>
        <w:widowControl/>
        <w:tabs>
          <w:tab w:val="clear" w:pos="720"/>
          <w:tab w:val="left" w:pos="360" w:leader="none"/>
        </w:tabs>
        <w:ind w:hanging="360" w:start="360" w:end="0"/>
        <w:jc w:val="both"/>
        <w:rPr/>
      </w:pPr>
      <w:r>
        <w:rPr>
          <w:b/>
          <w:bCs/>
          <w:sz w:val="24"/>
          <w:szCs w:val="24"/>
        </w:rPr>
        <w:t xml:space="preserve">D.  </w:t>
      </w:r>
      <w:r>
        <w:rPr>
          <w:b/>
          <w:bCs/>
          <w:sz w:val="24"/>
          <w:szCs w:val="24"/>
          <w:u w:val="single"/>
        </w:rPr>
        <w:t>The proposed price cap will only exacerbate the problem in both the long and short terms.</w:t>
      </w:r>
    </w:p>
    <w:p>
      <w:pPr>
        <w:pStyle w:val="Normal"/>
        <w:widowControl/>
        <w:spacing w:lineRule="auto" w:line="360"/>
        <w:jc w:val="both"/>
        <w:rPr>
          <w:b/>
          <w:bCs/>
          <w:sz w:val="24"/>
          <w:szCs w:val="24"/>
          <w:u w:val="single"/>
        </w:rPr>
      </w:pPr>
      <w:r>
        <w:rPr>
          <w:b/>
          <w:bCs/>
          <w:sz w:val="24"/>
          <w:szCs w:val="24"/>
          <w:u w:val="single"/>
        </w:rPr>
      </w:r>
    </w:p>
    <w:p>
      <w:pPr>
        <w:pStyle w:val="Normal"/>
        <w:widowControl/>
        <w:spacing w:lineRule="auto" w:line="480"/>
        <w:ind w:firstLine="720" w:end="0"/>
        <w:jc w:val="both"/>
        <w:rPr/>
      </w:pPr>
      <w:r>
        <w:rPr>
          <w:sz w:val="24"/>
          <w:szCs w:val="24"/>
        </w:rPr>
        <w:t xml:space="preserve">Steadfastly refusing to accept the fact that high prices are a symptom of high costs to generators and supply shortages, Movants instead propose to mask the symptom by implementing even lower price caps and applying them to all sellers.  </w:t>
      </w:r>
      <w:r>
        <w:rPr>
          <w:rStyle w:val="CommentReference"/>
          <w:vanish w:val="false"/>
        </w:rPr>
        <w:commentReference w:id="1"/>
      </w:r>
      <w:r>
        <w:rPr>
          <w:sz w:val="24"/>
          <w:szCs w:val="24"/>
        </w:rPr>
        <w:t xml:space="preserve">Instead of taking steps to mitigate prices through forward contracting and demand responsiveness, they prefer the magic of regulatory fiat.  </w:t>
      </w:r>
    </w:p>
    <w:p>
      <w:pPr>
        <w:pStyle w:val="Normal"/>
        <w:widowControl/>
        <w:spacing w:lineRule="auto" w:line="480"/>
        <w:ind w:firstLine="720" w:end="0"/>
        <w:jc w:val="both"/>
        <w:rPr>
          <w:sz w:val="24"/>
          <w:szCs w:val="24"/>
        </w:rPr>
      </w:pPr>
      <w:r>
        <w:rPr>
          <w:sz w:val="24"/>
          <w:szCs w:val="24"/>
        </w:rPr>
        <w:t xml:space="preserve">However, artificially forcing prices down removes any incentive for demand response and for load serving entities to make forward commitments to purchase needed new capacity.  It leads instead to the need for further regulatory intervention to artificially provide the incentive that the high prices themselves provide in an unconstrained market. </w:t>
      </w:r>
      <w:r>
        <w:rPr>
          <w:rStyle w:val="FootnoteCharacters"/>
          <w:rStyle w:val="FootnoteReference"/>
          <w:sz w:val="24"/>
          <w:szCs w:val="24"/>
        </w:rPr>
        <w:footnoteReference w:id="11"/>
      </w:r>
    </w:p>
    <w:p>
      <w:pPr>
        <w:pStyle w:val="Normal"/>
        <w:widowControl/>
        <w:spacing w:lineRule="auto" w:line="360"/>
        <w:ind w:firstLine="720" w:end="0"/>
        <w:jc w:val="both"/>
        <w:rPr>
          <w:sz w:val="24"/>
          <w:szCs w:val="24"/>
        </w:rPr>
      </w:pPr>
      <w:r>
        <w:rPr>
          <w:sz w:val="24"/>
          <w:szCs w:val="24"/>
        </w:rPr>
      </w:r>
    </w:p>
    <w:p>
      <w:pPr>
        <w:pStyle w:val="Heading2"/>
        <w:widowControl/>
        <w:ind w:hanging="360" w:start="360" w:end="0"/>
        <w:jc w:val="both"/>
        <w:rPr/>
      </w:pPr>
      <w:r>
        <w:rPr>
          <w:b/>
          <w:bCs/>
          <w:u w:val="none"/>
        </w:rPr>
        <w:t xml:space="preserve">E.  </w:t>
      </w:r>
      <w:r>
        <w:rPr>
          <w:b/>
          <w:bCs/>
        </w:rPr>
        <w:t>Cost-based prices are the problem not the solution.</w:t>
      </w:r>
      <w:r>
        <w:rPr/>
        <w:t xml:space="preserve"> </w:t>
      </w:r>
      <w:r>
        <w:rPr>
          <w:b/>
          <w:bCs/>
        </w:rPr>
        <w:t>With FERC guidance, the market can continue to  work and flourish.</w:t>
      </w:r>
    </w:p>
    <w:p>
      <w:pPr>
        <w:pStyle w:val="BodyText"/>
        <w:widowControl/>
        <w:spacing w:lineRule="auto" w:line="480" w:before="0" w:after="0"/>
        <w:ind w:firstLine="72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Another misguided suggestion is to use a “cost based” mechanism as an improvement over a price cap.  Lest we forget, the entire reason for restructuring the California electricity market was to move from a regulated cost of service structure to competitive markets.  To that end, a little review is in order.  </w:t>
      </w:r>
    </w:p>
    <w:p>
      <w:pPr>
        <w:pStyle w:val="BodyText"/>
        <w:widowControl/>
        <w:spacing w:lineRule="auto" w:line="480" w:before="0" w:after="0"/>
        <w:ind w:firstLine="720" w:end="0"/>
        <w:jc w:val="both"/>
        <w:rPr/>
      </w:pPr>
      <w:r>
        <w:rPr/>
        <w:t xml:space="preserve">The table below shows the rate components of the three California utilities at the time restructuring began in 1998.  At that time, the “reasonable” cost of generation under cost-based rates averaged $67.45/MWh.  This was when natural gas prices were under $3.00/MMBtu and a new green-field combined cycle power plant could be built and operated profitably at a total price of less than $40.00/MWh.  The primary purpose of restructuring was to inject the discipline of the market into the electric industry, replacing “cost based rates” with a competitive price regime that provided an incentive to increase margins by reducing costs, not by increasing rate base. </w:t>
      </w:r>
    </w:p>
    <w:tbl>
      <w:tblPr>
        <w:tblW w:w="8856" w:type="dxa"/>
        <w:jc w:val="start"/>
        <w:tblInd w:w="0" w:type="dxa"/>
        <w:tblLayout w:type="fixed"/>
        <w:tblCellMar>
          <w:top w:w="0" w:type="dxa"/>
          <w:start w:w="108" w:type="dxa"/>
          <w:bottom w:w="0" w:type="dxa"/>
          <w:end w:w="108" w:type="dxa"/>
        </w:tblCellMar>
      </w:tblPr>
      <w:tblGrid>
        <w:gridCol w:w="1278"/>
        <w:gridCol w:w="1674"/>
        <w:gridCol w:w="1476"/>
        <w:gridCol w:w="1476"/>
        <w:gridCol w:w="1476"/>
        <w:gridCol w:w="1476"/>
      </w:tblGrid>
      <w:tr>
        <w:trPr/>
        <w:tc>
          <w:tcPr>
            <w:tcW w:w="8856" w:type="dxa"/>
            <w:gridSpan w:val="6"/>
            <w:tcBorders>
              <w:top w:val="single" w:sz="6" w:space="0" w:color="000000"/>
              <w:start w:val="single" w:sz="6" w:space="0" w:color="000000"/>
              <w:bottom w:val="single" w:sz="6" w:space="0" w:color="000000"/>
              <w:end w:val="single" w:sz="6" w:space="0" w:color="000000"/>
            </w:tcBorders>
          </w:tcPr>
          <w:p>
            <w:pPr>
              <w:pStyle w:val="Heading3"/>
              <w:widowControl/>
              <w:ind w:hanging="0" w:start="0"/>
              <w:rPr>
                <w:b/>
                <w:bCs/>
              </w:rPr>
            </w:pPr>
            <w:r>
              <w:rPr>
                <w:b/>
                <w:bCs/>
              </w:rPr>
              <w:t>System Average unbundled rates – 1998</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sz w:val="24"/>
                <w:szCs w:val="24"/>
              </w:rPr>
            </w:pPr>
            <w:r>
              <w:rPr>
                <w:b/>
                <w:bCs/>
                <w:sz w:val="24"/>
                <w:szCs w:val="24"/>
              </w:rPr>
              <w:t>Utility</w:t>
            </w:r>
          </w:p>
        </w:tc>
        <w:tc>
          <w:tcPr>
            <w:tcW w:w="1674" w:type="dxa"/>
            <w:tcBorders>
              <w:top w:val="single" w:sz="6" w:space="0" w:color="000000"/>
              <w:start w:val="single" w:sz="6" w:space="0" w:color="000000"/>
              <w:bottom w:val="single" w:sz="6" w:space="0" w:color="000000"/>
              <w:end w:val="single" w:sz="6" w:space="0" w:color="000000"/>
            </w:tcBorders>
          </w:tcPr>
          <w:p>
            <w:pPr>
              <w:pStyle w:val="Normal"/>
              <w:widowControl/>
              <w:jc w:val="both"/>
              <w:rPr>
                <w:b/>
                <w:bCs/>
                <w:sz w:val="24"/>
                <w:szCs w:val="24"/>
              </w:rPr>
            </w:pPr>
            <w:r>
              <w:rPr>
                <w:b/>
                <w:bCs/>
                <w:sz w:val="24"/>
                <w:szCs w:val="24"/>
              </w:rPr>
              <w:t>Transmission</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b/>
                <w:bCs/>
                <w:sz w:val="24"/>
                <w:szCs w:val="24"/>
              </w:rPr>
            </w:pPr>
            <w:r>
              <w:rPr>
                <w:b/>
                <w:bCs/>
                <w:sz w:val="24"/>
                <w:szCs w:val="24"/>
              </w:rPr>
              <w:t>Distribution</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b/>
                <w:bCs/>
                <w:sz w:val="24"/>
                <w:szCs w:val="24"/>
              </w:rPr>
            </w:pPr>
            <w:r>
              <w:rPr>
                <w:b/>
                <w:bCs/>
                <w:sz w:val="24"/>
                <w:szCs w:val="24"/>
              </w:rPr>
              <w:t>Other</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b/>
                <w:bCs/>
                <w:sz w:val="24"/>
                <w:szCs w:val="24"/>
              </w:rPr>
            </w:pPr>
            <w:r>
              <w:rPr>
                <w:b/>
                <w:bCs/>
                <w:sz w:val="24"/>
                <w:szCs w:val="24"/>
              </w:rPr>
              <w:t>Generation</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b/>
                <w:bCs/>
                <w:sz w:val="24"/>
                <w:szCs w:val="24"/>
              </w:rPr>
            </w:pPr>
            <w:r>
              <w:rPr>
                <w:b/>
                <w:bCs/>
                <w:sz w:val="24"/>
                <w:szCs w:val="24"/>
              </w:rPr>
              <w:t>Total</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sz w:val="24"/>
                <w:szCs w:val="24"/>
              </w:rPr>
            </w:pPr>
            <w:r>
              <w:rPr>
                <w:b/>
                <w:bCs/>
                <w:sz w:val="24"/>
                <w:szCs w:val="24"/>
              </w:rPr>
              <w:t>PG&amp;E</w:t>
            </w:r>
          </w:p>
        </w:tc>
        <w:tc>
          <w:tcPr>
            <w:tcW w:w="1674"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$3.79</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$25.33</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$3.92</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$66.69</w:t>
            </w:r>
            <w:r>
              <w:rPr>
                <w:rStyle w:val="FootnoteCharacters"/>
                <w:rStyle w:val="FootnoteReference"/>
                <w:sz w:val="24"/>
                <w:szCs w:val="24"/>
              </w:rPr>
              <w:footnoteReference w:id="12"/>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$99.73</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sz w:val="24"/>
                <w:szCs w:val="24"/>
              </w:rPr>
            </w:pPr>
            <w:r>
              <w:rPr>
                <w:b/>
                <w:bCs/>
                <w:sz w:val="24"/>
                <w:szCs w:val="24"/>
              </w:rPr>
              <w:t>SDG&amp;E</w:t>
            </w:r>
          </w:p>
        </w:tc>
        <w:tc>
          <w:tcPr>
            <w:tcW w:w="1674"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$7.61</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$31.47</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$4.92</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$50.29</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$94.30</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sz w:val="24"/>
                <w:szCs w:val="24"/>
              </w:rPr>
            </w:pPr>
            <w:r>
              <w:rPr>
                <w:b/>
                <w:bCs/>
                <w:sz w:val="24"/>
                <w:szCs w:val="24"/>
              </w:rPr>
              <w:t>SCE</w:t>
            </w:r>
          </w:p>
        </w:tc>
        <w:tc>
          <w:tcPr>
            <w:tcW w:w="1674"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$2.74</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$21.59</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$2.84</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$71.74</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$98.91</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sz w:val="24"/>
                <w:szCs w:val="24"/>
              </w:rPr>
            </w:pPr>
            <w:r>
              <w:rPr>
                <w:b/>
                <w:bCs/>
                <w:sz w:val="24"/>
                <w:szCs w:val="24"/>
              </w:rPr>
              <w:t>Average</w:t>
            </w:r>
          </w:p>
        </w:tc>
        <w:tc>
          <w:tcPr>
            <w:tcW w:w="1674"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$3.67</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$24.21</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$3.52</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$67.45</w:t>
            </w:r>
          </w:p>
        </w:tc>
        <w:tc>
          <w:tcPr>
            <w:tcW w:w="1476" w:type="dxa"/>
            <w:tcBorders>
              <w:top w:val="single" w:sz="6" w:space="0" w:color="000000"/>
              <w:start w:val="single" w:sz="6" w:space="0" w:color="000000"/>
              <w:bottom w:val="single" w:sz="6" w:space="0" w:color="000000"/>
              <w:end w:val="single" w:sz="6" w:space="0" w:color="000000"/>
            </w:tcBorders>
          </w:tcPr>
          <w:p>
            <w:pPr>
              <w:pStyle w:val="Normal"/>
              <w:widowControl/>
              <w:jc w:val="both"/>
              <w:rPr>
                <w:sz w:val="24"/>
                <w:szCs w:val="24"/>
              </w:rPr>
            </w:pPr>
            <w:r>
              <w:rPr>
                <w:sz w:val="24"/>
                <w:szCs w:val="24"/>
              </w:rPr>
              <w:t>$98.85</w:t>
            </w:r>
          </w:p>
        </w:tc>
      </w:tr>
    </w:tbl>
    <w:p>
      <w:pPr>
        <w:pStyle w:val="Normal"/>
        <w:widowControl/>
        <w:jc w:val="both"/>
        <w:rPr/>
      </w:pPr>
      <w:r>
        <w:rPr/>
        <w:t>Notes:  Other includes public purpose programs and nuclear decommissioning costs.  Average is volume weighted average.  Values from CPUC unbundling decision (D.97-08-056)</w:t>
      </w:r>
    </w:p>
    <w:p>
      <w:pPr>
        <w:pStyle w:val="BodyText"/>
        <w:widowControl/>
        <w:spacing w:lineRule="auto" w:line="480" w:before="0" w:after="0"/>
        <w:ind w:firstLine="72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BodyText"/>
        <w:widowControl/>
        <w:spacing w:lineRule="auto" w:line="480" w:before="0" w:after="0"/>
        <w:ind w:firstLine="72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The success of the market can be demonstrated by comparing market prices to the cost based generation rate.  As the graph on the following page demonstrates, for every month since the California Power Exchange began operations up until June 2000, the average monthly price of electricity – the primary source of compensation for merchant generators – has been well below the average price under cost of service rates. </w:t>
      </w:r>
    </w:p>
    <w:p>
      <w:pPr>
        <w:pStyle w:val="Normal"/>
        <w:widowControl/>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sz w:val="24"/>
          <w:szCs w:val="24"/>
        </w:rPr>
      </w:r>
    </w:p>
    <w:p>
      <w:pPr>
        <w:pStyle w:val="Normal"/>
        <w:widowControl/>
        <w:jc w:val="both"/>
        <w:rPr>
          <w:sz w:val="24"/>
          <w:szCs w:val="24"/>
        </w:rPr>
      </w:pPr>
      <w:r>
        <w:rPr>
          <w:sz w:val="24"/>
          <w:szCs w:val="24"/>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571490" cy="2209800"/>
                <wp:effectExtent l="0" t="0" r="0" b="0"/>
                <wp:wrapTopAndBottom/>
                <wp:docPr id="1" name="Frame1"/>
                <a:graphic xmlns:a="http://schemas.openxmlformats.org/drawingml/2006/main">
                  <a:graphicData uri="http://schemas.microsoft.com/office/word/2010/wordprocessingShape">
                    <wps:wsp>
                      <wps:cNvSpPr txBox="1"/>
                      <wps:spPr>
                        <a:xfrm>
                          <a:off x="0" y="0"/>
                          <a:ext cx="5571490" cy="2209800"/>
                        </a:xfrm>
                        <a:prstGeom prst="rect"/>
                        <a:solidFill>
                          <a:srgbClr val="FFFFFF">
                            <a:alpha val="0"/>
                          </a:srgbClr>
                        </a:solidFill>
                      </wps:spPr>
                      <wps:txbx>
                        <w:txbxContent>
                          <w:p>
                            <w:pPr>
                              <w:pStyle w:val="Normal"/>
                              <w:widowControl/>
                              <w:rPr/>
                            </w:pPr>
                            <w:r>
                              <w:rPr/>
                              <w:object w:dxaOrig="8775" w:dyaOrig="34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38.7pt;height:174pt" filled="f" o:ole="">
                                  <v:imagedata r:id="rId3" o:title=""/>
                                </v:shape>
                                <o:OLEObject Type="Embed" ProgID="" ShapeID="ole_rId2" DrawAspect="Content" ObjectID="_2137053987" r:id="rId2"/>
                              </w:object>
                            </w:r>
                          </w:p>
                        </w:txbxContent>
                      </wps:txbx>
                      <wps:bodyPr anchor="t" lIns="0" tIns="0" rIns="0" bIns="0">
                        <a:noAutofit/>
                      </wps:bodyPr>
                    </wps:wsp>
                  </a:graphicData>
                </a:graphic>
              </wp:anchor>
            </w:drawing>
          </mc:Choice>
          <mc:Fallback>
            <w:pict>
              <v:rect fillcolor="#FFFFFF" style="position:absolute;rotation:-0;width:438.7pt;height:174pt;mso-wrap-distance-left:0pt;mso-wrap-distance-right:0pt;mso-wrap-distance-top:0pt;mso-wrap-distance-bottom:0pt;margin-top:0.05pt;mso-position-vertical-relative:text;margin-left:0.05pt;mso-position-horizontal-relative:text">
                <v:fill opacity="0f"/>
                <v:textbox inset="0in,0in,0in,0in">
                  <w:txbxContent>
                    <w:p>
                      <w:pPr>
                        <w:pStyle w:val="Normal"/>
                        <w:widowControl/>
                        <w:rPr/>
                      </w:pPr>
                      <w:r>
                        <w:rPr/>
                        <w:object w:dxaOrig="8775" w:dyaOrig="34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38.7pt;height:174pt" filled="f" o:ole="">
                            <v:imagedata r:id="rId5" o:title=""/>
                          </v:shape>
                          <o:OLEObject Type="Embed" ProgID="" ShapeID="ole_rId4" DrawAspect="Content" ObjectID="_1168063422" r:id="rId4"/>
                        </w:object>
                      </w:r>
                    </w:p>
                  </w:txbxContent>
                </v:textbox>
                <w10:wrap type="topAndBottom"/>
              </v:rect>
            </w:pict>
          </mc:Fallback>
        </mc:AlternateContent>
      </w:r>
    </w:p>
    <w:p>
      <w:pPr>
        <w:pStyle w:val="Normal"/>
        <w:widowControl/>
        <w:spacing w:lineRule="auto" w:line="480"/>
        <w:jc w:val="both"/>
        <w:rPr>
          <w:b/>
          <w:bCs/>
          <w:sz w:val="24"/>
          <w:szCs w:val="24"/>
        </w:rPr>
      </w:pPr>
      <w:r>
        <w:rPr>
          <w:sz w:val="24"/>
          <w:szCs w:val="24"/>
        </w:rPr>
        <w:t>Retreating from market reliance now, when we are about to see the benefits of new merchant generation built and operated on the superior principles of market efficiency rather than regulated cost plus planning, would be folly.  A return to cost based rates, even for an interim period, will do incalculable harm to the overall goal of restructuring.</w:t>
      </w:r>
    </w:p>
    <w:p>
      <w:pPr>
        <w:pStyle w:val="Normal"/>
        <w:widowControl/>
        <w:spacing w:lineRule="auto" w:line="360"/>
        <w:jc w:val="both"/>
        <w:rPr>
          <w:b/>
          <w:bCs/>
          <w:sz w:val="24"/>
          <w:szCs w:val="24"/>
        </w:rPr>
      </w:pPr>
      <w:r>
        <w:rPr>
          <w:b/>
          <w:bCs/>
          <w:sz w:val="24"/>
          <w:szCs w:val="24"/>
        </w:rPr>
      </w:r>
    </w:p>
    <w:p>
      <w:pPr>
        <w:pStyle w:val="Normal"/>
        <w:widowControl/>
        <w:spacing w:lineRule="auto" w:line="360"/>
        <w:jc w:val="both"/>
        <w:rPr>
          <w:b/>
          <w:bCs/>
          <w:sz w:val="24"/>
          <w:szCs w:val="24"/>
        </w:rPr>
      </w:pPr>
      <w:r>
        <w:rPr>
          <w:b/>
          <w:bCs/>
          <w:sz w:val="24"/>
          <w:szCs w:val="24"/>
        </w:rPr>
        <w:t xml:space="preserve">F.  </w:t>
      </w:r>
      <w:r>
        <w:rPr>
          <w:b/>
          <w:bCs/>
          <w:sz w:val="24"/>
          <w:szCs w:val="24"/>
          <w:u w:val="single"/>
        </w:rPr>
        <w:t>Market mechanisms are working and will resolve the problem.</w:t>
      </w:r>
    </w:p>
    <w:p>
      <w:pPr>
        <w:pStyle w:val="Normal"/>
        <w:widowControl/>
        <w:spacing w:lineRule="auto" w:line="480"/>
        <w:ind w:firstLine="720" w:end="0"/>
        <w:jc w:val="both"/>
        <w:rPr>
          <w:sz w:val="24"/>
          <w:szCs w:val="24"/>
        </w:rPr>
      </w:pPr>
      <w:r>
        <w:rPr>
          <w:sz w:val="24"/>
          <w:szCs w:val="24"/>
        </w:rPr>
        <w:t xml:space="preserve">Correcting the serious defects in the retail market structure will help resolve the generation shortage in the west.  We believe that it is important to remember that markets do go through stages and that this is the first time that the “de-regulated” electricity industry has experienced supply shortages – a useful and important part of the market cycle.  The electricity market, and energy markets in general, have been experiencing an extended period of surplus supply.  Under these surplus conditions, spot market prices tended to reflect the variable cost of marginal capacity, providing little incentive for new resources.  The spot market sent the message that investment in new generation was not economic.  Now that load growth has erased the surplus, high spot prices provide a strong incentive to build, for buyers to make forward commitments that reduce the cost of financing new generation, and for consumers to temporarily reduce their usage to ration scarce capacity.  Without any well-meaning regulatory attention, the invisible hand of the market will result in correct decisions being made as participants act in their own self-interest.  </w:t>
      </w:r>
    </w:p>
    <w:p>
      <w:pPr>
        <w:pStyle w:val="Normal"/>
        <w:widowControl/>
        <w:spacing w:lineRule="auto" w:line="480"/>
        <w:ind w:firstLine="720" w:end="0"/>
        <w:jc w:val="both"/>
        <w:rPr/>
      </w:pPr>
      <w:r>
        <w:rPr>
          <w:sz w:val="24"/>
          <w:szCs w:val="24"/>
        </w:rPr>
        <w:t xml:space="preserve">There are numerous examples of the market working even with the limitations put in place by various regulatory entities.  First, was the purchase of divested generation in California.  While PG&amp;E, SDG&amp;E and Edison were selling short over 20,000 MW of generating capacity, AES, Calpine, Dynegy, Duke, Reliant and Southern invested in excess of $3 billion to take a long position in the California market and help pay down utility stranded costs.  Pundits and industry experts scoffed at the high prices, and for 2 years the investments were losers. </w:t>
      </w:r>
      <w:r>
        <w:rPr>
          <w:rStyle w:val="FootnoteCharacters"/>
          <w:rStyle w:val="FootnoteReference"/>
          <w:sz w:val="24"/>
          <w:szCs w:val="24"/>
        </w:rPr>
        <w:footnoteReference w:id="13"/>
      </w:r>
      <w:r>
        <w:rPr>
          <w:sz w:val="24"/>
          <w:szCs w:val="24"/>
        </w:rPr>
        <w:t xml:space="preserve">  For example, the February 14, 2000 issue of Utility Spotlight contained a story entitled, “Differing Views Expressed on Dereg by California Regulator, Legislator.”  The story provided the following quotation from the self-styled architect of California’s electricity industry restructuring legislation, “On the legislative side, State Sen. Steve Peace . . . told industry stakeholders that the state’s lawmakers intentionally deregulated generation in 1996 to draw out-of-state capital that would help pay off more quickly the enormous stranded costs of the state’s three major investor-owned utilities.  Peace indicated merchant generators, overall, paid too much . . . Peace called California’s restructuring a ‘modified competitive model . . . We wanted to extract benefit for consumers in the area of stranded costs and it worked out well,’ he said. ‘It was a bet that most of the industry nationwide would misperceive what we were doing and overbid on the power plants. And by overpaying for power plants, they would help get our consumers off the hook for stranded costs.’”  </w:t>
      </w:r>
    </w:p>
    <w:p>
      <w:pPr>
        <w:pStyle w:val="Normal"/>
        <w:widowControl/>
        <w:spacing w:lineRule="auto" w:line="480"/>
        <w:ind w:firstLine="720" w:end="0"/>
        <w:jc w:val="both"/>
        <w:rPr/>
      </w:pPr>
      <w:r>
        <w:rPr>
          <w:sz w:val="24"/>
          <w:szCs w:val="24"/>
        </w:rPr>
        <w:t xml:space="preserve">Another example of the market at work is provided by SDG&amp;E.  In a letter sent to the California ISO on September 21, 2000, SDG&amp;E notified the ISO that its peak load forecast was being reduced by 256 MW as a result of customer response to high peak prices. </w:t>
      </w:r>
      <w:r>
        <w:rPr>
          <w:rStyle w:val="FootnoteCharacters"/>
          <w:rStyle w:val="FootnoteReference"/>
          <w:sz w:val="24"/>
          <w:szCs w:val="24"/>
        </w:rPr>
        <w:footnoteReference w:id="14"/>
      </w:r>
      <w:r>
        <w:rPr>
          <w:sz w:val="24"/>
          <w:szCs w:val="24"/>
        </w:rPr>
        <w:t xml:space="preserve">  This 5% reduction in peak demand resulted from customer responses to only one summer of price spikes.  This was achieved without concerted efforts on the part of energy service providers to develop demand management programs in SDG&amp;E’s service territory.  Had this same response been available to all California customers, peak demand could have been some 2,500 MW lower.  </w:t>
      </w:r>
    </w:p>
    <w:p>
      <w:pPr>
        <w:pStyle w:val="Normal"/>
        <w:widowControl/>
        <w:spacing w:lineRule="auto" w:line="480"/>
        <w:ind w:firstLine="720" w:end="0"/>
        <w:jc w:val="both"/>
        <w:rPr>
          <w:sz w:val="24"/>
          <w:szCs w:val="24"/>
        </w:rPr>
      </w:pPr>
      <w:r>
        <w:rPr>
          <w:sz w:val="24"/>
          <w:szCs w:val="24"/>
        </w:rPr>
        <w:t xml:space="preserve">A final example is the recent increase in forward contracting by California utilities.  For example, Calpine recently announced a two and one-half year contract with PG&amp;E for 400 MW of generating capacity.  This kind of forward commitment helps support Calpine’s development of new generation within California and provides a level of price certainty to PG&amp;E and its customers.  </w:t>
      </w:r>
    </w:p>
    <w:p>
      <w:pPr>
        <w:pStyle w:val="Normal"/>
        <w:widowControl/>
        <w:spacing w:lineRule="auto" w:line="480"/>
        <w:jc w:val="both"/>
        <w:rPr>
          <w:b/>
          <w:bCs/>
          <w:sz w:val="24"/>
          <w:szCs w:val="24"/>
        </w:rPr>
      </w:pPr>
      <w:r>
        <w:rPr>
          <w:b/>
          <w:bCs/>
          <w:sz w:val="24"/>
          <w:szCs w:val="24"/>
        </w:rPr>
      </w:r>
    </w:p>
    <w:p>
      <w:pPr>
        <w:pStyle w:val="Normal"/>
        <w:widowControl/>
        <w:spacing w:lineRule="auto" w:line="480"/>
        <w:jc w:val="both"/>
        <w:rPr>
          <w:b/>
          <w:bCs/>
          <w:sz w:val="24"/>
          <w:szCs w:val="24"/>
        </w:rPr>
      </w:pPr>
      <w:r>
        <w:rPr>
          <w:b/>
          <w:bCs/>
          <w:sz w:val="24"/>
          <w:szCs w:val="24"/>
        </w:rPr>
        <w:t>III.</w:t>
        <w:tab/>
      </w:r>
      <w:r>
        <w:rPr>
          <w:b/>
          <w:bCs/>
          <w:sz w:val="24"/>
          <w:szCs w:val="24"/>
          <w:u w:val="single"/>
        </w:rPr>
        <w:t>CONCLUSION</w:t>
      </w:r>
    </w:p>
    <w:p>
      <w:pPr>
        <w:pStyle w:val="Normal"/>
        <w:widowControl/>
        <w:spacing w:lineRule="auto" w:line="480"/>
        <w:ind w:firstLine="720" w:end="0"/>
        <w:jc w:val="both"/>
        <w:rPr>
          <w:sz w:val="24"/>
          <w:szCs w:val="24"/>
        </w:rPr>
      </w:pPr>
      <w:r>
        <w:rPr>
          <w:sz w:val="24"/>
          <w:szCs w:val="24"/>
        </w:rPr>
        <w:t>The Joint Motion is the product of poor planning and imprudent application of risk management by the utility Movants.  Like Chicken Little crying, “the sky is falling,” they misinterpret events and fail to understand the real cause of their current misfortunes.  Moreover, they decline to accept personal responsibility for the magnitude of their undercollections.  Finally, they reject the idea that a more competitive retail market would assist in ameliorating the current problems, for the likely reason that a more competitive retail market would result in customers abandoning default service and accepting service from the new competitors in the California market.</w:t>
      </w:r>
    </w:p>
    <w:p>
      <w:pPr>
        <w:pStyle w:val="Normal"/>
        <w:widowControl/>
        <w:spacing w:lineRule="auto" w:line="480"/>
        <w:ind w:firstLine="720" w:end="0"/>
        <w:jc w:val="both"/>
        <w:rPr>
          <w:sz w:val="24"/>
          <w:szCs w:val="24"/>
        </w:rPr>
      </w:pPr>
      <w:r>
        <w:rPr>
          <w:sz w:val="24"/>
          <w:szCs w:val="24"/>
        </w:rPr>
        <w:t>Whatever, their motivation, the Joint Movants have not proved the truth of their allegations.  They seek redress from this Commission, when their proper course of action should be to approach the CPUC to work for a more competitive retail market and the ISO and the PX to address market structure issues which have contributed to high wholesale prices.  The Commission should reject their request, as it has already rejected similar requests by other California parties who prefer regulatory fiat over free market competition.</w:t>
      </w:r>
    </w:p>
    <w:p>
      <w:pPr>
        <w:pStyle w:val="Normal"/>
        <w:widowControl/>
        <w:rPr>
          <w:sz w:val="24"/>
          <w:szCs w:val="24"/>
        </w:rPr>
      </w:pPr>
      <w:r>
        <w:rPr>
          <w:sz w:val="24"/>
          <w:szCs w:val="24"/>
        </w:rPr>
        <w:tab/>
        <w:tab/>
        <w:tab/>
        <w:tab/>
        <w:tab/>
      </w:r>
    </w:p>
    <w:p>
      <w:pPr>
        <w:pStyle w:val="Normal"/>
        <w:ind w:firstLine="5040" w:end="0"/>
        <w:rPr>
          <w:sz w:val="24"/>
          <w:szCs w:val="24"/>
        </w:rPr>
      </w:pPr>
      <w:r>
        <w:rPr>
          <w:sz w:val="24"/>
          <w:szCs w:val="24"/>
        </w:rPr>
        <w:t>Respectfully submitted,</w:t>
      </w:r>
    </w:p>
    <w:p>
      <w:pPr>
        <w:pStyle w:val="Normal"/>
        <w:ind w:firstLine="5040" w:end="0"/>
        <w:rPr>
          <w:sz w:val="24"/>
          <w:szCs w:val="24"/>
        </w:rPr>
      </w:pPr>
      <w:r>
        <w:rPr>
          <w:sz w:val="24"/>
          <w:szCs w:val="24"/>
        </w:rPr>
      </w:r>
    </w:p>
    <w:p>
      <w:pPr>
        <w:pStyle w:val="Normal"/>
        <w:ind w:firstLine="5040" w:end="0"/>
        <w:rPr>
          <w:sz w:val="24"/>
          <w:szCs w:val="24"/>
        </w:rPr>
      </w:pPr>
      <w:r>
        <w:rPr>
          <w:sz w:val="24"/>
          <w:szCs w:val="24"/>
        </w:rPr>
      </w:r>
    </w:p>
    <w:p>
      <w:pPr>
        <w:pStyle w:val="Normal"/>
        <w:ind w:firstLine="5040" w:end="0"/>
        <w:rPr>
          <w:sz w:val="24"/>
          <w:szCs w:val="24"/>
        </w:rPr>
      </w:pPr>
      <w:r>
        <w:rPr>
          <w:sz w:val="24"/>
          <w:szCs w:val="24"/>
        </w:rPr>
        <w:t>ARTER &amp; HADDEN, LLP</w:t>
      </w:r>
    </w:p>
    <w:p>
      <w:pPr>
        <w:pStyle w:val="Normal"/>
        <w:ind w:firstLine="5040" w:end="0"/>
        <w:rPr>
          <w:sz w:val="24"/>
          <w:szCs w:val="24"/>
        </w:rPr>
      </w:pPr>
      <w:r>
        <w:rPr>
          <w:sz w:val="24"/>
          <w:szCs w:val="24"/>
        </w:rPr>
      </w:r>
    </w:p>
    <w:p>
      <w:pPr>
        <w:pStyle w:val="Normal"/>
        <w:ind w:firstLine="5040" w:end="0"/>
        <w:rPr>
          <w:sz w:val="24"/>
          <w:szCs w:val="24"/>
        </w:rPr>
      </w:pPr>
      <w:r>
        <w:rPr>
          <w:sz w:val="24"/>
          <w:szCs w:val="24"/>
        </w:rPr>
      </w:r>
    </w:p>
    <w:p>
      <w:pPr>
        <w:pStyle w:val="Normal"/>
        <w:ind w:firstLine="5040" w:end="0"/>
        <w:rPr>
          <w:sz w:val="24"/>
          <w:szCs w:val="24"/>
        </w:rPr>
      </w:pPr>
      <w:r>
        <w:rPr>
          <w:sz w:val="24"/>
          <w:szCs w:val="24"/>
        </w:rPr>
      </w:r>
    </w:p>
    <w:p>
      <w:pPr>
        <w:pStyle w:val="Normal"/>
        <w:ind w:firstLine="5040" w:end="0"/>
        <w:rPr>
          <w:sz w:val="24"/>
          <w:szCs w:val="24"/>
        </w:rPr>
      </w:pPr>
      <w:r>
        <w:rPr>
          <w:sz w:val="24"/>
          <w:szCs w:val="24"/>
        </w:rPr>
        <w:t>_______________________________</w:t>
      </w:r>
    </w:p>
    <w:p>
      <w:pPr>
        <w:pStyle w:val="Normal"/>
        <w:ind w:firstLine="1440" w:start="3600" w:end="0"/>
        <w:rPr>
          <w:sz w:val="24"/>
          <w:szCs w:val="24"/>
        </w:rPr>
      </w:pPr>
      <w:r>
        <w:rPr>
          <w:sz w:val="24"/>
          <w:szCs w:val="24"/>
        </w:rPr>
        <w:t>Daniel W. Douglass</w:t>
      </w:r>
    </w:p>
    <w:p>
      <w:pPr>
        <w:pStyle w:val="Normal"/>
        <w:ind w:firstLine="1440" w:start="3600" w:end="0"/>
        <w:rPr>
          <w:sz w:val="24"/>
          <w:szCs w:val="24"/>
        </w:rPr>
      </w:pPr>
      <w:r>
        <w:rPr>
          <w:sz w:val="24"/>
          <w:szCs w:val="24"/>
        </w:rPr>
        <w:t>Arter &amp; Hadden LLP</w:t>
      </w:r>
    </w:p>
    <w:p>
      <w:pPr>
        <w:pStyle w:val="Normal"/>
        <w:ind w:firstLine="1440" w:start="3600" w:end="0"/>
        <w:rPr>
          <w:sz w:val="24"/>
          <w:szCs w:val="24"/>
        </w:rPr>
      </w:pPr>
      <w:r>
        <w:rPr>
          <w:sz w:val="24"/>
          <w:szCs w:val="24"/>
        </w:rPr>
        <w:t>5959 Topanga Canyon Blvd.  Suite 244</w:t>
      </w:r>
    </w:p>
    <w:p>
      <w:pPr>
        <w:pStyle w:val="Normal"/>
        <w:ind w:firstLine="1440" w:start="3600" w:end="0"/>
        <w:rPr>
          <w:sz w:val="24"/>
          <w:szCs w:val="24"/>
        </w:rPr>
      </w:pPr>
      <w:r>
        <w:rPr>
          <w:sz w:val="24"/>
          <w:szCs w:val="24"/>
        </w:rPr>
        <w:t>Woodland Hills, CA 91367</w:t>
      </w:r>
    </w:p>
    <w:p>
      <w:pPr>
        <w:pStyle w:val="Normal"/>
        <w:ind w:firstLine="1440" w:start="3600" w:end="0"/>
        <w:rPr>
          <w:sz w:val="24"/>
          <w:szCs w:val="24"/>
        </w:rPr>
      </w:pPr>
      <w:r>
        <w:rPr>
          <w:sz w:val="24"/>
          <w:szCs w:val="24"/>
        </w:rPr>
        <w:t>Telephone (818) 596-2201</w:t>
      </w:r>
    </w:p>
    <w:p>
      <w:pPr>
        <w:pStyle w:val="Normal"/>
        <w:ind w:firstLine="5040" w:end="0"/>
        <w:rPr>
          <w:sz w:val="24"/>
          <w:szCs w:val="24"/>
        </w:rPr>
      </w:pPr>
      <w:r>
        <w:rPr>
          <w:sz w:val="24"/>
          <w:szCs w:val="24"/>
        </w:rPr>
        <w:t>Facsimile   (818) 346-6502</w:t>
      </w:r>
    </w:p>
    <w:p>
      <w:pPr>
        <w:pStyle w:val="Normal"/>
        <w:ind w:firstLine="5040" w:end="0"/>
        <w:rPr>
          <w:sz w:val="24"/>
          <w:szCs w:val="24"/>
        </w:rPr>
      </w:pPr>
      <w:r>
        <w:rPr>
          <w:sz w:val="24"/>
          <w:szCs w:val="24"/>
        </w:rPr>
      </w:r>
    </w:p>
    <w:p>
      <w:pPr>
        <w:pStyle w:val="Normal"/>
        <w:ind w:firstLine="5040" w:end="0"/>
        <w:rPr>
          <w:sz w:val="24"/>
          <w:szCs w:val="24"/>
        </w:rPr>
      </w:pPr>
      <w:r>
        <w:rPr>
          <w:sz w:val="24"/>
          <w:szCs w:val="24"/>
        </w:rPr>
        <w:t>Attorneys for the</w:t>
      </w:r>
    </w:p>
    <w:p>
      <w:pPr>
        <w:pStyle w:val="Normal"/>
        <w:ind w:firstLine="5040" w:end="0"/>
        <w:rPr>
          <w:sz w:val="24"/>
          <w:szCs w:val="24"/>
        </w:rPr>
      </w:pPr>
      <w:r>
        <w:rPr>
          <w:sz w:val="24"/>
          <w:szCs w:val="24"/>
        </w:rPr>
        <w:t>WESTERN POWER TRADING FORUM</w:t>
      </w:r>
    </w:p>
    <w:p>
      <w:pPr>
        <w:pStyle w:val="Normal"/>
        <w:ind w:firstLine="5040" w:end="0"/>
        <w:rPr>
          <w:sz w:val="24"/>
          <w:szCs w:val="24"/>
        </w:rPr>
      </w:pPr>
      <w:r>
        <w:rPr>
          <w:sz w:val="24"/>
          <w:szCs w:val="24"/>
        </w:rPr>
      </w:r>
    </w:p>
    <w:p>
      <w:pPr>
        <w:pStyle w:val="Normal"/>
        <w:rPr>
          <w:sz w:val="24"/>
          <w:szCs w:val="24"/>
        </w:rPr>
      </w:pPr>
      <w:r>
        <w:rPr>
          <w:sz w:val="24"/>
          <w:szCs w:val="24"/>
        </w:rPr>
        <w:t xml:space="preserve">October 31, 2000 </w:t>
      </w:r>
      <w:r>
        <w:br w:type="page"/>
      </w:r>
    </w:p>
    <w:p>
      <w:pPr>
        <w:pStyle w:val="Normal"/>
        <w:rPr>
          <w:sz w:val="24"/>
          <w:szCs w:val="24"/>
        </w:rPr>
      </w:pPr>
      <w:r>
        <w:rPr>
          <w:sz w:val="24"/>
          <w:szCs w:val="24"/>
        </w:rPr>
      </w:r>
    </w:p>
    <w:p>
      <w:pPr>
        <w:pStyle w:val="DoubleSpacing"/>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rPr>
        <w:t>CERTIFICATE OF SERVICE</w:t>
      </w:r>
    </w:p>
    <w:p>
      <w:pPr>
        <w:pStyle w:val="SingleSpacing"/>
        <w:ind w:firstLine="72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SingleSpacing"/>
        <w:spacing w:lineRule="auto" w:line="360"/>
        <w:ind w:firstLine="720" w:end="0"/>
        <w:jc w:val="both"/>
        <w:rPr/>
      </w:pPr>
      <w:r>
        <w:rPr>
          <w:rFonts w:eastAsia="Times New Roman;Times New Roman" w:cs="Times New Roman;Times New Roman" w:ascii="Times New Roman;Times New Roman" w:hAnsi="Times New Roman;Times New Roman"/>
        </w:rPr>
        <w:t>I hereby certify that I have this day served the foregoing document upon the following persons designated on the official service list compiled by the Secretary in Dockets Nos. EL00-95-000, EL00-98-000, EL00-104-000 and EL00-107-000</w:t>
      </w:r>
      <w:r>
        <w:rPr>
          <w:rFonts w:eastAsia="Times New Roman;Times New Roman" w:cs="Times New Roman;Times New Roman" w:ascii="Times New Roman;Times New Roman" w:hAnsi="Times New Roman;Times New Roman"/>
          <w:b/>
          <w:bCs/>
        </w:rPr>
        <w:t xml:space="preserve"> </w:t>
      </w:r>
      <w:r>
        <w:rPr>
          <w:rFonts w:eastAsia="Times New Roman;Times New Roman" w:cs="Times New Roman;Times New Roman" w:ascii="Times New Roman;Times New Roman" w:hAnsi="Times New Roman;Times New Roman"/>
        </w:rPr>
        <w:t>in accordance with the requirements of Rule 2010 of the Commission’s Rules of Practice and Procedure, 18 C.F.R. §385.2010 (1997):</w:t>
      </w:r>
    </w:p>
    <w:p>
      <w:pPr>
        <w:pStyle w:val="DoubleSpacing"/>
        <w:ind w:firstLine="720" w:end="0"/>
        <w:rPr/>
      </w:pPr>
      <w:r>
        <w:rPr>
          <w:rFonts w:eastAsia="Times New Roman;Times New Roman" w:cs="Times New Roman;Times New Roman" w:ascii="Times New Roman;Times New Roman" w:hAnsi="Times New Roman;Times New Roman"/>
        </w:rPr>
        <w:t>Dated at Woodland Hills, California on this 31</w:t>
      </w:r>
      <w:r>
        <w:rPr>
          <w:rFonts w:eastAsia="Times New Roman;Times New Roman" w:cs="Times New Roman;Times New Roman" w:ascii="Times New Roman;Times New Roman" w:hAnsi="Times New Roman;Times New Roman"/>
          <w:vertAlign w:val="superscript"/>
        </w:rPr>
        <w:t>st</w:t>
      </w:r>
      <w:r>
        <w:rPr>
          <w:rFonts w:eastAsia="Times New Roman;Times New Roman" w:cs="Times New Roman;Times New Roman" w:ascii="Times New Roman;Times New Roman" w:hAnsi="Times New Roman;Times New Roman"/>
        </w:rPr>
        <w:t xml:space="preserve"> day of October, 2000.</w:t>
      </w:r>
    </w:p>
    <w:p>
      <w:pPr>
        <w:pStyle w:val="DoubleSpacing"/>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DoubleSpacing"/>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ab/>
        <w:tab/>
        <w:tab/>
        <w:tab/>
        <w:tab/>
        <w:tab/>
        <w:tab/>
        <w:tab/>
        <w:tab/>
        <w:tab/>
        <w:tab/>
        <w:tab/>
        <w:tab/>
        <w:tab/>
        <w:tab/>
        <w:tab/>
        <w:tab/>
        <w:tab/>
        <w:t>_________________________________</w:t>
      </w:r>
    </w:p>
    <w:p>
      <w:pPr>
        <w:pStyle w:val="SignatureBlock"/>
        <w:widowControl/>
        <w:ind w:start="3600" w:end="0"/>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ab/>
        <w:t>Michelle Dangott</w:t>
      </w:r>
    </w:p>
    <w:sectPr>
      <w:footerReference w:type="default" r:id="rId6"/>
      <w:footnotePr>
        <w:numFmt w:val="decimal"/>
      </w:footnotePr>
      <w:type w:val="nextPage"/>
      <w:pgSz w:w="12240" w:h="15840"/>
      <w:pgMar w:left="1440" w:right="1440" w:gutter="0" w:header="0" w:top="1440" w:footer="720" w:bottom="1440"/>
      <w:pgNumType w:fmt="decimal"/>
      <w:formProt w:val="false"/>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PJM" w:date="0-00-00T00:00:00Z" w:initials="">
    <w:p>
      <w:pPr>
        <w:overflowPunct w:val="false"/>
        <w:bidi w:val="0"/>
        <w:rPr/>
      </w:pPr>
      <w:r>
        <w:annotationRef/>
      </w:r>
      <w:r>
        <w:rPr>
          <w:rFonts w:ascii="Times New Roman;Times New Roman" w:hAnsi="Times New Roman;Times New Roman" w:eastAsia="Times New Roman;Times New Roman" w:cs="Times New Roman;Times New Roman"/>
          <w:color w:val="auto"/>
          <w:sz w:val="20"/>
          <w:szCs w:val="20"/>
          <w:lang w:bidi="en-US" w:eastAsia="en-US" w:val="en-US"/>
        </w:rPr>
        <w:t>This sentence appears to come out of left field.</w:t>
      </w:r>
    </w:p>
  </w:comment>
  <w:comment w:id="1" w:author="PJM" w:date="0-00-00T00:00:00Z" w:initials="">
    <w:p>
      <w:pPr>
        <w:overflowPunct w:val="false"/>
        <w:bidi w:val="0"/>
        <w:rPr/>
      </w:pPr>
      <w:r>
        <w:annotationRef/>
      </w:r>
      <w:r>
        <w:rPr>
          <w:rFonts w:ascii="Times New Roman;Times New Roman" w:hAnsi="Times New Roman;Times New Roman" w:eastAsia="Times New Roman;Times New Roman" w:cs="Times New Roman;Times New Roman"/>
          <w:color w:val="auto"/>
          <w:sz w:val="20"/>
          <w:szCs w:val="20"/>
          <w:lang w:bidi="en-US" w:eastAsia="en-US" w:val="en-US"/>
        </w:rPr>
        <w:t xml:space="preserve">This sentence also appears to come from nowhere.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Galliard">
    <w:charset w:val="01"/>
    <w:family w:val="roman"/>
    <w:pitch w:val="default"/>
  </w:font>
  <w:font w:name="Palatino">
    <w:charset w:val="01"/>
    <w:family w:val="auto"/>
    <w:pitch w:val="default"/>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16</w:t>
    </w:r>
    <w:r>
      <w:rPr>
        <w:rStyle w:val="PageNumber"/>
        <w:sz w:val="24"/>
        <w:szCs w:val="24"/>
      </w:rPr>
      <w:fldChar w:fldCharType="end"/>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widowControl/>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rPr>
                        <w:rStyle w:val="PageNumber"/>
                      </w:rPr>
                    </w:pPr>
                    <w:r>
                      <w:rPr/>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lineRule="auto" w:line="240" w:before="0" w:after="0"/>
        <w:jc w:val="both"/>
        <w:rPr/>
      </w:pPr>
      <w:r>
        <w:rPr>
          <w:rStyle w:val="FootnoteCharacters"/>
        </w:rPr>
        <w:footnoteRef/>
      </w:r>
      <w:r>
        <w:rPr/>
        <w:t xml:space="preserve"> </w:t>
      </w:r>
      <w:r>
        <w:rPr>
          <w:rFonts w:eastAsia="Times New Roman;Times New Roman" w:cs="Times New Roman;Times New Roman" w:ascii="Times New Roman;Times New Roman" w:hAnsi="Times New Roman;Times New Roman"/>
          <w:sz w:val="20"/>
          <w:szCs w:val="20"/>
        </w:rPr>
        <w:t>Both Edison and PG&amp;E were exposed to the daily volatility of the energy market because neither had opted to purchase energy in the forward markets.</w:t>
      </w:r>
      <w:r>
        <w:rPr/>
        <w:t xml:space="preserve"> </w:t>
      </w:r>
      <w:r>
        <w:rPr>
          <w:rFonts w:eastAsia="Times New Roman;Times New Roman" w:cs="Times New Roman;Times New Roman" w:ascii="Times New Roman;Times New Roman" w:hAnsi="Times New Roman;Times New Roman"/>
          <w:sz w:val="20"/>
          <w:szCs w:val="20"/>
        </w:rPr>
        <w:t xml:space="preserve"> Either company could have requested authority to hedge their risk by taking future positions that would have assured some level of stranded cost recovery, regardless of the direction of the spot market.  This could have been done as an unregulated financial hedge by their holding companies to mitigate their shareholder risk.  Any time after March 16, 2000, when the CPUC issued its Resolution E-3658, both PG&amp;E and SCE were authorized to purchase up to their net short position from the PX Block Forward Market.  Neither utility took full advantage of their forward purchasing authority, presumably because they expected prices to remain low.</w:t>
      </w:r>
    </w:p>
  </w:footnote>
  <w:footnote w:id="3">
    <w:p>
      <w:pPr>
        <w:pStyle w:val="FootnoteText"/>
        <w:widowControl/>
        <w:spacing w:lineRule="auto" w:line="240" w:before="0" w:after="0"/>
        <w:jc w:val="both"/>
        <w:rPr/>
      </w:pPr>
      <w:r>
        <w:rPr>
          <w:rStyle w:val="FootnoteCharacters"/>
        </w:rPr>
        <w:footnoteRef/>
      </w:r>
      <w:r>
        <w:rPr>
          <w:rFonts w:eastAsia="Times New Roman;Times New Roman" w:cs="Times New Roman;Times New Roman" w:ascii="Times New Roman;Times New Roman" w:hAnsi="Times New Roman;Times New Roman"/>
          <w:sz w:val="20"/>
          <w:szCs w:val="20"/>
        </w:rPr>
        <w:t xml:space="preserve"> </w:t>
      </w:r>
      <w:r>
        <w:rPr>
          <w:rFonts w:eastAsia="Times New Roman;Times New Roman" w:cs="Times New Roman;Times New Roman" w:ascii="Times New Roman;Times New Roman" w:hAnsi="Times New Roman;Times New Roman"/>
          <w:sz w:val="20"/>
          <w:szCs w:val="20"/>
        </w:rPr>
        <w:t>This is a major cause of the actual problem facing the California market. The lack of price signals to consumers eliminates any meaningful incentive for demand to respond to higher prices.</w:t>
      </w:r>
    </w:p>
  </w:footnote>
  <w:footnote w:id="4">
    <w:p>
      <w:pPr>
        <w:pStyle w:val="FootnoteText"/>
        <w:widowControl/>
        <w:spacing w:lineRule="auto" w:line="240" w:before="0" w:after="0"/>
        <w:jc w:val="both"/>
        <w:rPr/>
      </w:pPr>
      <w:r>
        <w:rPr>
          <w:rStyle w:val="FootnoteCharacters"/>
        </w:rPr>
        <w:footnoteRef/>
      </w:r>
      <w:r>
        <w:rPr>
          <w:rFonts w:eastAsia="Times New Roman;Times New Roman" w:cs="Times New Roman;Times New Roman" w:ascii="Times New Roman;Times New Roman" w:hAnsi="Times New Roman;Times New Roman"/>
          <w:sz w:val="20"/>
          <w:szCs w:val="20"/>
        </w:rPr>
        <w:t xml:space="preserve"> </w:t>
      </w:r>
      <w:r>
        <w:rPr>
          <w:rFonts w:eastAsia="Times New Roman;Times New Roman" w:cs="Times New Roman;Times New Roman" w:ascii="Times New Roman;Times New Roman" w:hAnsi="Times New Roman;Times New Roman"/>
          <w:sz w:val="20"/>
          <w:szCs w:val="20"/>
        </w:rPr>
        <w:t xml:space="preserve">This had not been the case for customers of SDG&amp;E (until the legislature re-imposed a rate freeze), who have actually responded to spot price levels to such an extent that SDG&amp;E has revised its peak load requirement forecast downward, as discussed herein later.  </w:t>
      </w:r>
    </w:p>
  </w:footnote>
  <w:footnote w:id="5">
    <w:p>
      <w:pPr>
        <w:pStyle w:val="FootnoteText"/>
        <w:widowControl/>
        <w:spacing w:lineRule="auto" w:line="240" w:before="0" w:after="0"/>
        <w:jc w:val="both"/>
        <w:rPr/>
      </w:pPr>
      <w:r>
        <w:rPr>
          <w:rStyle w:val="FootnoteCharacters"/>
        </w:rPr>
        <w:footnoteRef/>
      </w:r>
      <w:r>
        <w:rPr>
          <w:rFonts w:eastAsia="Times New Roman;Times New Roman" w:cs="Times New Roman;Times New Roman" w:ascii="Times New Roman;Times New Roman" w:hAnsi="Times New Roman;Times New Roman"/>
          <w:sz w:val="20"/>
          <w:szCs w:val="20"/>
        </w:rPr>
        <w:t xml:space="preserve"> </w:t>
      </w:r>
      <w:r>
        <w:rPr>
          <w:rFonts w:eastAsia="Times New Roman;Times New Roman" w:cs="Times New Roman;Times New Roman" w:ascii="Times New Roman;Times New Roman" w:hAnsi="Times New Roman;Times New Roman"/>
          <w:sz w:val="20"/>
          <w:szCs w:val="20"/>
        </w:rPr>
        <w:t>Both Edison (EIX) and PG&amp;E (PCG) are trading at levels well above their 12 month lows.  Considering that the claimed under-collection represents 5 times the total earnings of both companies, one would expect the market to respond negatively.  It has not.</w:t>
      </w:r>
      <w:r>
        <w:rPr/>
        <w:t xml:space="preserve"> </w:t>
      </w:r>
    </w:p>
  </w:footnote>
  <w:footnote w:id="6">
    <w:p>
      <w:pPr>
        <w:pStyle w:val="FootnoteText"/>
        <w:spacing w:lineRule="auto" w:line="240" w:before="0" w:after="0"/>
        <w:jc w:val="both"/>
        <w:rPr/>
      </w:pPr>
      <w:r>
        <w:rPr>
          <w:rStyle w:val="FootnoteCharacters"/>
        </w:rPr>
        <w:footnoteRef/>
      </w:r>
      <w:r>
        <w:rPr>
          <w:rFonts w:eastAsia="Times New Roman;Times New Roman" w:cs="Times New Roman;Times New Roman" w:ascii="Times New Roman;Times New Roman" w:hAnsi="Times New Roman;Times New Roman"/>
          <w:sz w:val="20"/>
          <w:szCs w:val="20"/>
        </w:rPr>
        <w:t xml:space="preserve"> </w:t>
      </w:r>
      <w:r>
        <w:rPr>
          <w:rFonts w:eastAsia="Times New Roman;Times New Roman" w:cs="Times New Roman;Times New Roman" w:ascii="Times New Roman;Times New Roman" w:hAnsi="Times New Roman;Times New Roman"/>
          <w:sz w:val="20"/>
          <w:szCs w:val="20"/>
        </w:rPr>
        <w:t xml:space="preserve">Case No. S091687, </w:t>
      </w:r>
      <w:r>
        <w:rPr>
          <w:rFonts w:eastAsia="Times New Roman;Times New Roman" w:cs="Times New Roman;Times New Roman" w:ascii="Times New Roman;Times New Roman" w:hAnsi="Times New Roman;Times New Roman"/>
          <w:i/>
          <w:iCs/>
          <w:sz w:val="20"/>
          <w:szCs w:val="20"/>
        </w:rPr>
        <w:t>Pacific Gas and Electric Company v. Public Utilities Commission of the State of California</w:t>
      </w:r>
      <w:r>
        <w:rPr>
          <w:rFonts w:eastAsia="Times New Roman;Times New Roman" w:cs="Times New Roman;Times New Roman" w:ascii="Times New Roman;Times New Roman" w:hAnsi="Times New Roman;Times New Roman"/>
          <w:sz w:val="20"/>
          <w:szCs w:val="20"/>
        </w:rPr>
        <w:t>, Supreme Court of California, 2000.</w:t>
      </w:r>
    </w:p>
  </w:footnote>
  <w:footnote w:id="7">
    <w:p>
      <w:pPr>
        <w:pStyle w:val="FootnoteText"/>
        <w:spacing w:lineRule="auto" w:line="240" w:before="0" w:after="0"/>
        <w:jc w:val="both"/>
        <w:rPr/>
      </w:pPr>
      <w:r>
        <w:rPr>
          <w:rStyle w:val="FootnoteCharacters"/>
        </w:rPr>
        <w:footnoteRef/>
      </w:r>
      <w:r>
        <w:rPr/>
        <w:t xml:space="preserve"> </w:t>
      </w:r>
      <w:r>
        <w:rPr>
          <w:rFonts w:eastAsia="Times New Roman;Times New Roman" w:cs="Times New Roman;Times New Roman" w:ascii="Times New Roman;Times New Roman" w:hAnsi="Times New Roman;Times New Roman"/>
          <w:sz w:val="20"/>
          <w:szCs w:val="20"/>
        </w:rPr>
        <w:t xml:space="preserve">See page 20 of “Answer Of Real Party In Interest The Utility Reform Network’s In Opposition To Petition For Review Of  Pacific Gas And Electric Company,” filed on October 10, 2000, in case No. S091687, </w:t>
      </w:r>
      <w:r>
        <w:rPr>
          <w:rFonts w:eastAsia="Times New Roman;Times New Roman" w:cs="Times New Roman;Times New Roman" w:ascii="Times New Roman;Times New Roman" w:hAnsi="Times New Roman;Times New Roman"/>
          <w:i/>
          <w:iCs/>
          <w:sz w:val="20"/>
          <w:szCs w:val="20"/>
        </w:rPr>
        <w:t>Pacific Gas and Electric Company v. Public Utilities Commission of the State of California</w:t>
      </w:r>
      <w:r>
        <w:rPr>
          <w:rFonts w:eastAsia="Times New Roman;Times New Roman" w:cs="Times New Roman;Times New Roman" w:ascii="Times New Roman;Times New Roman" w:hAnsi="Times New Roman;Times New Roman"/>
          <w:sz w:val="20"/>
          <w:szCs w:val="20"/>
        </w:rPr>
        <w:t>.</w:t>
      </w:r>
    </w:p>
  </w:footnote>
  <w:footnote w:id="8">
    <w:p>
      <w:pPr>
        <w:pStyle w:val="FootnoteText"/>
        <w:spacing w:lineRule="auto" w:line="240" w:before="0" w:after="0"/>
        <w:rPr/>
      </w:pPr>
      <w:r>
        <w:rPr>
          <w:rStyle w:val="FootnoteCharacters"/>
        </w:rPr>
        <w:footnoteRef/>
      </w:r>
      <w:r>
        <w:rPr/>
        <w:t xml:space="preserve"> </w:t>
      </w:r>
      <w:r>
        <w:rPr>
          <w:rFonts w:eastAsia="Times New Roman;Times New Roman" w:cs="Times New Roman;Times New Roman" w:ascii="Times New Roman;Times New Roman" w:hAnsi="Times New Roman;Times New Roman"/>
          <w:sz w:val="20"/>
          <w:szCs w:val="20"/>
        </w:rPr>
        <w:t>T</w:t>
      </w:r>
      <w:bookmarkStart w:id="0" w:name="zImInFootnote"/>
      <w:bookmarkEnd w:id="0"/>
      <w:r>
        <w:rPr>
          <w:rFonts w:eastAsia="Times New Roman;Times New Roman" w:cs="Times New Roman;Times New Roman" w:ascii="Times New Roman;Times New Roman" w:hAnsi="Times New Roman;Times New Roman"/>
          <w:sz w:val="20"/>
          <w:szCs w:val="20"/>
        </w:rPr>
        <w:t>ranscript, pages 113-114.</w:t>
      </w:r>
    </w:p>
  </w:footnote>
  <w:footnote w:id="9">
    <w:p>
      <w:pPr>
        <w:pStyle w:val="Normal"/>
        <w:widowControl/>
        <w:jc w:val="both"/>
        <w:rPr/>
      </w:pPr>
      <w:r>
        <w:rPr>
          <w:rStyle w:val="FootnoteCharacters"/>
        </w:rPr>
        <w:footnoteRef/>
      </w:r>
      <w:r>
        <w:rPr/>
        <w:t xml:space="preserve"> </w:t>
      </w:r>
      <w:r>
        <w:rPr/>
        <w:t>Order Initiating Hearing Proceedings To Investigate Justness And Reasonableness Of Rates Of Public Utility Sellers In California ISO And PX Markets And To Investigate ISO And PX Tariffs, Contracts, Institutional Structures And Bylaws; And Providing Further Guidance To California Entities 92 FERC ¶ 61,172.</w:t>
      </w:r>
    </w:p>
  </w:footnote>
  <w:footnote w:id="10">
    <w:p>
      <w:pPr>
        <w:pStyle w:val="FootnoteText"/>
        <w:spacing w:lineRule="auto" w:line="240" w:before="0" w:after="0"/>
        <w:rPr/>
      </w:pPr>
      <w:r>
        <w:rPr>
          <w:rStyle w:val="FootnoteCharacters"/>
        </w:rPr>
        <w:footnoteRef/>
      </w:r>
      <w:r>
        <w:rPr/>
        <w:t xml:space="preserve"> </w:t>
      </w:r>
      <w:r>
        <w:rPr>
          <w:rFonts w:eastAsia="Times New Roman;Times New Roman" w:cs="Times New Roman;Times New Roman" w:ascii="Times New Roman;Times New Roman" w:hAnsi="Times New Roman;Times New Roman"/>
          <w:sz w:val="20"/>
          <w:szCs w:val="20"/>
        </w:rPr>
        <w:t>Ibid., at page 6.</w:t>
      </w:r>
    </w:p>
  </w:footnote>
  <w:footnote w:id="11">
    <w:p>
      <w:pPr>
        <w:pStyle w:val="FootnoteText"/>
        <w:widowControl/>
        <w:spacing w:before="0" w:after="120"/>
        <w:jc w:val="both"/>
        <w:rPr/>
      </w:pPr>
      <w:r>
        <w:rPr>
          <w:rStyle w:val="FootnoteCharacters"/>
        </w:rPr>
        <w:footnoteRef/>
      </w:r>
      <w:r>
        <w:rPr>
          <w:rFonts w:eastAsia="Times New Roman;Times New Roman" w:cs="Times New Roman;Times New Roman" w:ascii="Times New Roman;Times New Roman" w:hAnsi="Times New Roman;Times New Roman"/>
          <w:sz w:val="20"/>
          <w:szCs w:val="20"/>
        </w:rPr>
        <w:t xml:space="preserve"> </w:t>
      </w:r>
      <w:r>
        <w:rPr>
          <w:rFonts w:eastAsia="Times New Roman;Times New Roman" w:cs="Times New Roman;Times New Roman" w:ascii="Times New Roman;Times New Roman" w:hAnsi="Times New Roman;Times New Roman"/>
          <w:sz w:val="20"/>
          <w:szCs w:val="20"/>
        </w:rPr>
        <w:t>There are several examples of this behavior in the California markets.  With artificially low price caps, the ISO determines that it cannot get enough peaking generation.  Instead of simply relying on the market to meet the need, it offers high capacity payments ($125/kW year) to incite new peaking units to locate in California.  Rather than giving customers the price signals needed to reduce or shift demand, it offers huge subsidies to participate in special demand reduction programs.</w:t>
      </w:r>
    </w:p>
  </w:footnote>
  <w:footnote w:id="12">
    <w:p>
      <w:pPr>
        <w:pStyle w:val="FootnoteText"/>
        <w:widowControl/>
        <w:spacing w:before="0" w:after="120"/>
        <w:jc w:val="both"/>
        <w:rPr/>
      </w:pPr>
      <w:r>
        <w:rPr>
          <w:rStyle w:val="FootnoteCharacters"/>
        </w:rPr>
        <w:footnoteRef/>
      </w:r>
      <w:r>
        <w:rPr>
          <w:rFonts w:eastAsia="Times New Roman;Times New Roman" w:cs="Times New Roman;Times New Roman" w:ascii="Times New Roman;Times New Roman" w:hAnsi="Times New Roman;Times New Roman"/>
          <w:sz w:val="20"/>
          <w:szCs w:val="20"/>
        </w:rPr>
        <w:t xml:space="preserve"> </w:t>
      </w:r>
      <w:r>
        <w:rPr>
          <w:rFonts w:eastAsia="Times New Roman;Times New Roman" w:cs="Times New Roman;Times New Roman" w:ascii="Times New Roman;Times New Roman" w:hAnsi="Times New Roman;Times New Roman"/>
          <w:sz w:val="20"/>
          <w:szCs w:val="20"/>
        </w:rPr>
        <w:t>The 5.4¢/kWh ($54/MWh) that PG&amp;E references in the Motion [page 4] represents, not a lower generation cost in 2000 but the fact that PG&amp;E’s (cost based) distribution rates were increased in its General Rate Case.  Because of the rate freeze, the distribution rate increase [caused an?] was offset[ting?] by a decrease in the generation component.</w:t>
      </w:r>
    </w:p>
  </w:footnote>
  <w:footnote w:id="13">
    <w:p>
      <w:pPr>
        <w:pStyle w:val="FootnoteText"/>
        <w:widowControl/>
        <w:spacing w:before="0" w:after="120"/>
        <w:jc w:val="both"/>
        <w:rPr/>
      </w:pPr>
      <w:r>
        <w:rPr>
          <w:rStyle w:val="FootnoteCharacters"/>
        </w:rPr>
        <w:footnoteRef/>
      </w:r>
      <w:r>
        <w:rPr>
          <w:rFonts w:eastAsia="Times New Roman;Times New Roman" w:cs="Times New Roman;Times New Roman" w:ascii="Times New Roman;Times New Roman" w:hAnsi="Times New Roman;Times New Roman"/>
          <w:sz w:val="20"/>
          <w:szCs w:val="20"/>
        </w:rPr>
        <w:t xml:space="preserve"> </w:t>
      </w:r>
      <w:r>
        <w:rPr>
          <w:rFonts w:eastAsia="Times New Roman;Times New Roman" w:cs="Times New Roman;Times New Roman" w:ascii="Times New Roman;Times New Roman" w:hAnsi="Times New Roman;Times New Roman"/>
          <w:sz w:val="20"/>
          <w:szCs w:val="20"/>
        </w:rPr>
        <w:t>The California Energy Commission’s, “1998 Market Clearing Price Forecast for the California Energy Market” expressed a concern that forecasted prices might not be sufficient to support construction of new generation capacity.</w:t>
      </w:r>
    </w:p>
  </w:footnote>
  <w:footnote w:id="14">
    <w:p>
      <w:pPr>
        <w:pStyle w:val="FootnoteText"/>
        <w:widowControl/>
        <w:jc w:val="both"/>
        <w:rPr/>
      </w:pPr>
      <w:r>
        <w:rPr>
          <w:rStyle w:val="FootnoteCharacters"/>
        </w:rPr>
        <w:footnoteRef/>
      </w:r>
      <w:r>
        <w:rPr>
          <w:rFonts w:eastAsia="Times New Roman;Times New Roman" w:cs="Times New Roman;Times New Roman" w:ascii="Times New Roman;Times New Roman" w:hAnsi="Times New Roman;Times New Roman"/>
          <w:sz w:val="20"/>
          <w:szCs w:val="20"/>
        </w:rPr>
        <w:t xml:space="preserve"> </w:t>
      </w:r>
      <w:r>
        <w:rPr>
          <w:rFonts w:eastAsia="Times New Roman;Times New Roman" w:cs="Times New Roman;Times New Roman" w:ascii="Times New Roman;Times New Roman" w:hAnsi="Times New Roman;Times New Roman"/>
          <w:sz w:val="20"/>
          <w:szCs w:val="20"/>
        </w:rPr>
        <w:t>See page 3 of Attachment B of September 21, 2000 letter from David Korinek, SDG&amp;E Transmission Planning Manager, to Armando J. Perez, Director of Grid Planning of CalISO, “Part of the load reduction effect next year is due to the price spikes this year.  Once prices spike in a given year, the effect is experienced not only in the year in which the prices spike but in future years as well.  The load forecasting model captures this lingering effect through the use of a moving average price. In the case of 2001, it is important to note that retail customer prices will be lower than prices in the summer of 2000 due to the commodity price ceiling imposed by AB 265, but the 2001 prices for residential and non-residential (&lt;100 kW) customers will still be approximately 40% higher than prices assumed in the previous 80/20 load forecast, which is the basis of the 230 MW generation deficiency for SDG&amp;E.  With the higher prices and load reduction in 2001, the generation deficiency is non-existent.”</w:t>
      </w:r>
    </w:p>
    <w:p>
      <w:pPr>
        <w:pStyle w:val="FootnoteText"/>
        <w:widowControl/>
        <w:spacing w:before="0" w:after="120"/>
        <w:jc w:val="both"/>
        <w:rPr>
          <w:rFonts w:ascii="Times New Roman;Times New Roman" w:hAnsi="Times New Roman;Times New Roman" w:eastAsia="Times New Roman;Times New Roman" w:cs="Times New Roman;Times New Roman"/>
          <w:sz w:val="20"/>
          <w:szCs w:val="20"/>
        </w:rPr>
      </w:pPr>
      <w:r>
        <w:rPr>
          <w:rFonts w:eastAsia="Times New Roman;Times New Roman" w:cs="Times New Roman;Times New Roman" w:ascii="Times New Roman;Times New Roman" w:hAnsi="Times New Roman;Times New Roman"/>
          <w:sz w:val="20"/>
          <w:szCs w:val="20"/>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lineRule="auto" w:line="360"/>
      <w:outlineLvl w:val="1"/>
    </w:pPr>
    <w:rPr>
      <w:sz w:val="24"/>
      <w:szCs w:val="24"/>
      <w:u w:val="single"/>
    </w:rPr>
  </w:style>
  <w:style w:type="paragraph" w:styleId="Heading3">
    <w:name w:val="heading 3"/>
    <w:basedOn w:val="Normal"/>
    <w:next w:val="Normal"/>
    <w:qFormat/>
    <w:pPr>
      <w:keepNext w:val="true"/>
      <w:numPr>
        <w:ilvl w:val="2"/>
        <w:numId w:val="1"/>
      </w:numPr>
      <w:jc w:val="center"/>
      <w:outlineLvl w:val="2"/>
    </w:pPr>
    <w:rPr>
      <w:sz w:val="24"/>
      <w:szCs w:val="24"/>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eastAsia="Arial" w:cs="Arial"/>
      <w:sz w:val="24"/>
      <w:szCs w:val="24"/>
    </w:rPr>
  </w:style>
  <w:style w:type="paragraph" w:styleId="BodyText">
    <w:name w:val="Body Text"/>
    <w:basedOn w:val="Normal"/>
    <w:pPr>
      <w:spacing w:lineRule="atLeast" w:line="480" w:before="0" w:after="273"/>
      <w:ind w:firstLine="1080" w:start="0" w:end="0"/>
    </w:pPr>
    <w:rPr>
      <w:rFonts w:ascii="Galliard" w:hAnsi="Galliard" w:eastAsia="Galliard" w:cs="Galliard"/>
      <w:color w:val="000000"/>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Style">
    <w:name w:val="Body Text Style"/>
    <w:basedOn w:val="Normal"/>
    <w:qFormat/>
    <w:pPr>
      <w:spacing w:lineRule="exact" w:line="520"/>
      <w:ind w:firstLine="1080" w:start="0" w:end="0"/>
    </w:pPr>
    <w:rPr>
      <w:rFonts w:ascii="Galliard" w:hAnsi="Galliard" w:eastAsia="Galliard" w:cs="Galliard"/>
      <w:sz w:val="24"/>
      <w:szCs w:val="24"/>
    </w:rPr>
  </w:style>
  <w:style w:type="paragraph" w:styleId="FootnoteText">
    <w:name w:val="footnote text"/>
    <w:basedOn w:val="Normal"/>
    <w:pPr>
      <w:spacing w:lineRule="exact" w:line="260" w:before="0" w:after="120"/>
    </w:pPr>
    <w:rPr>
      <w:rFonts w:ascii="Galliard" w:hAnsi="Galliard" w:eastAsia="Galliard" w:cs="Galliard"/>
      <w:sz w:val="22"/>
      <w:szCs w:val="22"/>
    </w:rPr>
  </w:style>
  <w:style w:type="paragraph" w:styleId="BodyText3">
    <w:name w:val="Body Text 3"/>
    <w:basedOn w:val="Normal"/>
    <w:qFormat/>
    <w:pPr>
      <w:spacing w:lineRule="auto" w:line="480"/>
    </w:pPr>
    <w:rPr>
      <w:rFonts w:ascii="Arial" w:hAnsi="Arial" w:eastAsia="Arial" w:cs="Arial"/>
      <w:color w:val="000000"/>
      <w:sz w:val="24"/>
      <w:szCs w:val="24"/>
    </w:rPr>
  </w:style>
  <w:style w:type="paragraph" w:styleId="BodyTextIndent">
    <w:name w:val="Body Text Indent"/>
    <w:basedOn w:val="Normal"/>
    <w:pPr>
      <w:spacing w:lineRule="auto" w:line="480"/>
      <w:ind w:firstLine="720" w:start="0" w:end="0"/>
    </w:pPr>
    <w:rPr>
      <w:rFonts w:ascii="Arial" w:hAnsi="Arial" w:eastAsia="Arial" w:cs="Arial"/>
      <w:sz w:val="24"/>
      <w:szCs w:val="24"/>
    </w:rPr>
  </w:style>
  <w:style w:type="paragraph" w:styleId="BodyText2">
    <w:name w:val="Body Text 2"/>
    <w:basedOn w:val="Normal"/>
    <w:qFormat/>
    <w:pPr>
      <w:spacing w:lineRule="auto" w:line="480"/>
    </w:pPr>
    <w:rPr>
      <w:rFonts w:ascii="Arial" w:hAnsi="Arial" w:eastAsia="Arial" w:cs="Arial"/>
      <w:sz w:val="24"/>
      <w:szCs w:val="24"/>
    </w:rPr>
  </w:style>
  <w:style w:type="paragraph" w:styleId="SignatureBlock">
    <w:name w:val="Signature Block"/>
    <w:basedOn w:val="Normal"/>
    <w:qFormat/>
    <w:pPr>
      <w:spacing w:lineRule="exact" w:line="260"/>
      <w:ind w:hanging="0" w:start="4680" w:end="0"/>
    </w:pPr>
    <w:rPr>
      <w:rFonts w:ascii="Galliard" w:hAnsi="Galliard" w:eastAsia="Galliard" w:cs="Galliard"/>
      <w:sz w:val="24"/>
      <w:szCs w:val="24"/>
    </w:rPr>
  </w:style>
  <w:style w:type="paragraph" w:styleId="TitleStyle">
    <w:name w:val="Title Style"/>
    <w:basedOn w:val="Normal"/>
    <w:qFormat/>
    <w:pPr>
      <w:jc w:val="center"/>
    </w:pPr>
    <w:rPr>
      <w:rFonts w:ascii="Galliard" w:hAnsi="Galliard" w:eastAsia="Galliard" w:cs="Galliard"/>
      <w:b/>
      <w:bCs/>
      <w:caps/>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tandard">
    <w:name w:val="standard"/>
    <w:basedOn w:val="Normal"/>
    <w:qFormat/>
    <w:pPr>
      <w:spacing w:lineRule="auto" w:line="360"/>
      <w:ind w:firstLine="720" w:start="0" w:end="0"/>
    </w:pPr>
    <w:rPr>
      <w:rFonts w:ascii="Palatino" w:hAnsi="Palatino" w:eastAsia="Palatino" w:cs="Palatino"/>
      <w:sz w:val="26"/>
      <w:szCs w:val="26"/>
    </w:rPr>
  </w:style>
  <w:style w:type="paragraph" w:styleId="DoubleSpacing">
    <w:name w:val="Double Spacing"/>
    <w:basedOn w:val="Normal"/>
    <w:qFormat/>
    <w:pPr>
      <w:spacing w:lineRule="exact" w:line="480"/>
    </w:pPr>
    <w:rPr>
      <w:rFonts w:ascii="Courier New;Courier New" w:hAnsi="Courier New;Courier New" w:eastAsia="Courier New;Courier New" w:cs="Courier New;Courier New"/>
      <w:sz w:val="24"/>
      <w:szCs w:val="24"/>
    </w:rPr>
  </w:style>
  <w:style w:type="paragraph" w:styleId="SingleSpacing">
    <w:name w:val="Single Spacing"/>
    <w:basedOn w:val="Normal"/>
    <w:qFormat/>
    <w:pPr>
      <w:spacing w:lineRule="exact" w:line="240"/>
    </w:pPr>
    <w:rPr>
      <w:rFonts w:ascii="Courier New;Courier New" w:hAnsi="Courier New;Courier New" w:eastAsia="Courier New;Courier New" w:cs="Courier New;Courier New"/>
      <w:sz w:val="24"/>
      <w:szCs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2000-10-31T13:29:00Z</dcterms:created>
  <dc:creator>EPSA Staff</dc:creator>
  <dc:description/>
  <dc:language>en-CA</dc:language>
  <cp:lastModifiedBy>Arter &amp; Hadden</cp:lastModifiedBy>
  <cp:lastPrinted>2000-10-31T10:15:00Z</cp:lastPrinted>
  <dcterms:modified xsi:type="dcterms:W3CDTF">2000-10-31T15:47:00Z</dcterms:modified>
  <cp:revision>11</cp:revision>
  <dc:subject/>
  <dc:title>UNITED STATES OF AMERICA</dc:title>
</cp:coreProperties>
</file>