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SoCalGas Advice Letter Summary</w:t>
        <w:br/>
        <w:br/>
        <w:t>October 2, 2000</w:t>
      </w:r>
    </w:p>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2964</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10/2/00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10/22/00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Normal"/>
              <w:rPr/>
            </w:pPr>
            <w:r>
              <w:rPr/>
              <w:t>The purpose of this advice letter is to provide the annual PBR rate adjustment for 2001. This filing of the PBR indexing and adjustment mechanism is only for the elements of inflation</w:t>
            </w:r>
          </w:p>
          <w:p>
            <w:pPr>
              <w:pStyle w:val="Normal"/>
              <w:rPr/>
            </w:pPr>
            <w:r>
              <w:rPr/>
              <w:t>(measured as the Gas Utility Price Index or “GUPI”), productivity, and customer growth.</w:t>
            </w:r>
          </w:p>
          <w:p>
            <w:pPr>
              <w:pStyle w:val="Normal"/>
              <w:rPr/>
            </w:pPr>
            <w:r>
              <w:rPr/>
              <w:t xml:space="preserve">The overall net rate change is an increase in base margin of $41.0 million (+2.96%) over SoCalGas’ current base margin of $1,386.8 million. </w:t>
            </w:r>
          </w:p>
          <w:p>
            <w:pPr>
              <w:pStyle w:val="Normal"/>
              <w:rPr/>
            </w:pPr>
            <w:r>
              <w:rPr/>
            </w:r>
          </w:p>
          <w:p>
            <w:pPr>
              <w:pStyle w:val="Body"/>
              <w:spacing w:before="0" w:after="240"/>
              <w:ind w:hanging="0" w:end="0"/>
              <w:rPr/>
            </w:pPr>
            <w:r>
              <w:rPr/>
              <w:t>The increase in SoCalGas’ base margin consists of the following components: the GUPI escalation and productivity factors which combine to increase margin per customer to $280.90, an increase of 1.40%, and a forecasted number of customers of 5,082,990.  The current 2000 base margin includes Biennial Cost Allocation Proceeding (BCAP) adjustments (pursuant to D.00-04-060) of $6.83 million for Wheeler Ridge, $2.66 million for Transmission Lines 325 and 6902, and $60,871 for 2000 submeter credits for mobile-home master-meter conversions made in 1999.  The PBR indexing formula calculation and GUPI and the revised rates resulting from this increase are shown in various attachments</w:t>
            </w:r>
          </w:p>
        </w:tc>
      </w:tr>
    </w:tbl>
    <w:p>
      <w:pPr>
        <w:pStyle w:val="Body"/>
        <w:spacing w:before="0" w:after="0"/>
        <w:ind w:hanging="0" w:end="0"/>
        <w:jc w:val="center"/>
        <w:rPr>
          <w:b/>
          <w:bCs/>
          <w:u w:val="single"/>
        </w:rPr>
      </w:pPr>
      <w:r>
        <w:rPr>
          <w:b/>
          <w:bCs/>
          <w:u w:val="single"/>
        </w:rPr>
      </w:r>
    </w:p>
    <w:p>
      <w:pPr>
        <w:pStyle w:val="Body"/>
        <w:spacing w:before="0" w:after="240"/>
        <w:ind w:hanging="0" w:end="0"/>
        <w:jc w:val="center"/>
        <w:rPr>
          <w:b/>
          <w:bCs/>
          <w:u w:val="single"/>
        </w:rPr>
      </w:pPr>
      <w:r>
        <w:rPr>
          <w:b/>
          <w:bCs/>
          <w:u w:val="single"/>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2000-10-02T20:54:00Z</dcterms:created>
  <dc:creator>Arter &amp; Hadden</dc:creator>
  <dc:description/>
  <dc:language>en-CA</dc:language>
  <cp:lastModifiedBy>Arter &amp; Hadden</cp:lastModifiedBy>
  <cp:lastPrinted>2000-09-30T13:28:00Z</cp:lastPrinted>
  <dcterms:modified xsi:type="dcterms:W3CDTF">2000-10-02T20:56:00Z</dcterms:modified>
  <cp:revision>3</cp:revision>
  <dc:subject/>
  <dc:title>A</dc:title>
</cp:coreProperties>
</file>